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CE19" w14:textId="77777777" w:rsidR="009307E5" w:rsidRPr="007D50DF" w:rsidRDefault="009307E5" w:rsidP="009307E5">
      <w:pPr>
        <w:jc w:val="center"/>
        <w:rPr>
          <w:rFonts w:ascii="Calibri" w:hAnsi="Calibri" w:cs="Calibri"/>
          <w:b/>
          <w:bCs/>
          <w:i/>
          <w:iCs/>
          <w:sz w:val="22"/>
          <w:szCs w:val="22"/>
        </w:rPr>
      </w:pPr>
    </w:p>
    <w:p w14:paraId="0F109729" w14:textId="4AA1B9E8" w:rsidR="009307E5" w:rsidRPr="007D50DF" w:rsidRDefault="009307E5" w:rsidP="009307E5">
      <w:pPr>
        <w:jc w:val="center"/>
        <w:rPr>
          <w:rFonts w:ascii="Calibri" w:hAnsi="Calibri" w:cs="Calibri"/>
          <w:b/>
          <w:bCs/>
          <w:i/>
          <w:iCs/>
          <w:sz w:val="22"/>
          <w:szCs w:val="22"/>
        </w:rPr>
      </w:pPr>
      <w:r w:rsidRPr="007D50DF">
        <w:rPr>
          <w:rFonts w:ascii="Calibri" w:hAnsi="Calibri" w:cs="Calibri"/>
          <w:b/>
          <w:bCs/>
          <w:i/>
          <w:iCs/>
          <w:sz w:val="22"/>
          <w:szCs w:val="22"/>
        </w:rPr>
        <w:t>MANUAL DE PROCEDIMIENTO DE CONTROL POLÍTICA DE OPERACIONES HABITUALES</w:t>
      </w:r>
    </w:p>
    <w:p w14:paraId="0A83BFF6" w14:textId="77777777" w:rsidR="009307E5" w:rsidRPr="007D50DF" w:rsidRDefault="009307E5" w:rsidP="009307E5">
      <w:pPr>
        <w:jc w:val="center"/>
        <w:rPr>
          <w:rFonts w:ascii="Calibri" w:hAnsi="Calibri" w:cs="Calibri"/>
          <w:b/>
          <w:bCs/>
          <w:i/>
          <w:iCs/>
          <w:sz w:val="22"/>
          <w:szCs w:val="22"/>
        </w:rPr>
      </w:pPr>
    </w:p>
    <w:p w14:paraId="7B67FF74" w14:textId="77777777" w:rsidR="009307E5" w:rsidRPr="007D50DF" w:rsidRDefault="009307E5" w:rsidP="009307E5">
      <w:pPr>
        <w:jc w:val="center"/>
        <w:rPr>
          <w:rFonts w:ascii="Calibri" w:hAnsi="Calibri" w:cs="Calibri"/>
          <w:b/>
          <w:bCs/>
          <w:i/>
          <w:iCs/>
          <w:sz w:val="22"/>
          <w:szCs w:val="22"/>
        </w:rPr>
      </w:pPr>
      <w:r w:rsidRPr="007D50DF">
        <w:rPr>
          <w:rFonts w:ascii="Calibri" w:hAnsi="Calibri" w:cs="Calibri"/>
          <w:b/>
          <w:bCs/>
          <w:i/>
          <w:iCs/>
          <w:sz w:val="22"/>
          <w:szCs w:val="22"/>
        </w:rPr>
        <w:t>TELEFÓNICA CHILE S.A</w:t>
      </w:r>
    </w:p>
    <w:p w14:paraId="5FC00318" w14:textId="77777777" w:rsidR="009307E5" w:rsidRPr="007D50DF" w:rsidRDefault="009307E5" w:rsidP="009307E5">
      <w:pPr>
        <w:jc w:val="both"/>
        <w:rPr>
          <w:rFonts w:ascii="Calibri" w:hAnsi="Calibri" w:cs="Calibri"/>
          <w:i/>
          <w:iCs/>
          <w:sz w:val="22"/>
          <w:szCs w:val="22"/>
        </w:rPr>
      </w:pPr>
    </w:p>
    <w:p w14:paraId="64439698" w14:textId="77777777" w:rsidR="009307E5" w:rsidRPr="007D50DF" w:rsidRDefault="009307E5" w:rsidP="009307E5">
      <w:pPr>
        <w:pStyle w:val="Prrafodelista"/>
        <w:numPr>
          <w:ilvl w:val="0"/>
          <w:numId w:val="4"/>
        </w:numPr>
        <w:jc w:val="both"/>
        <w:rPr>
          <w:rFonts w:ascii="Calibri" w:hAnsi="Calibri" w:cs="Calibri"/>
          <w:i/>
          <w:iCs/>
          <w:sz w:val="22"/>
          <w:szCs w:val="22"/>
          <w:u w:val="single"/>
          <w:lang w:val="en-US"/>
        </w:rPr>
      </w:pPr>
      <w:r w:rsidRPr="007D50DF">
        <w:rPr>
          <w:rFonts w:ascii="Calibri" w:hAnsi="Calibri" w:cs="Calibri"/>
          <w:i/>
          <w:iCs/>
          <w:sz w:val="22"/>
          <w:szCs w:val="22"/>
          <w:u w:val="single"/>
          <w:lang w:val="en-US"/>
        </w:rPr>
        <w:t>Antecedentes</w:t>
      </w:r>
    </w:p>
    <w:p w14:paraId="0FF52E1F" w14:textId="77777777" w:rsidR="009307E5" w:rsidRPr="007D50DF" w:rsidRDefault="009307E5" w:rsidP="009307E5">
      <w:pPr>
        <w:jc w:val="both"/>
        <w:rPr>
          <w:rFonts w:ascii="Calibri" w:hAnsi="Calibri" w:cs="Calibri"/>
          <w:i/>
          <w:iCs/>
          <w:sz w:val="22"/>
          <w:szCs w:val="22"/>
          <w:lang w:val="en-US"/>
        </w:rPr>
      </w:pPr>
    </w:p>
    <w:p w14:paraId="4BF71A20"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 xml:space="preserve">En sesión de </w:t>
      </w:r>
      <w:r>
        <w:rPr>
          <w:rFonts w:ascii="Calibri" w:hAnsi="Calibri" w:cs="Calibri"/>
          <w:i/>
          <w:iCs/>
          <w:sz w:val="22"/>
          <w:szCs w:val="22"/>
        </w:rPr>
        <w:t>D</w:t>
      </w:r>
      <w:r w:rsidRPr="007D50DF">
        <w:rPr>
          <w:rFonts w:ascii="Calibri" w:hAnsi="Calibri" w:cs="Calibri"/>
          <w:i/>
          <w:iCs/>
          <w:sz w:val="22"/>
          <w:szCs w:val="22"/>
        </w:rPr>
        <w:t>irectorio de fecha 29 de agosto de 2024, la sociedad Telefónica Chile S.A. (la “</w:t>
      </w:r>
      <w:r w:rsidRPr="007D50DF">
        <w:rPr>
          <w:rFonts w:ascii="Calibri" w:hAnsi="Calibri" w:cs="Calibri"/>
          <w:i/>
          <w:iCs/>
          <w:sz w:val="22"/>
          <w:szCs w:val="22"/>
          <w:u w:val="single"/>
        </w:rPr>
        <w:t>Sociedad</w:t>
      </w:r>
      <w:r w:rsidRPr="007D50DF">
        <w:rPr>
          <w:rFonts w:ascii="Calibri" w:hAnsi="Calibri" w:cs="Calibri"/>
          <w:i/>
          <w:iCs/>
          <w:sz w:val="22"/>
          <w:szCs w:val="22"/>
        </w:rPr>
        <w:t>”), aprobó la política general de habitualidad (la “</w:t>
      </w:r>
      <w:r w:rsidRPr="007D50DF">
        <w:rPr>
          <w:rFonts w:ascii="Calibri" w:hAnsi="Calibri" w:cs="Calibri"/>
          <w:i/>
          <w:iCs/>
          <w:sz w:val="22"/>
          <w:szCs w:val="22"/>
          <w:u w:val="single"/>
        </w:rPr>
        <w:t>Política</w:t>
      </w:r>
      <w:r w:rsidRPr="007D50DF">
        <w:rPr>
          <w:rFonts w:ascii="Calibri" w:hAnsi="Calibri" w:cs="Calibri"/>
          <w:i/>
          <w:iCs/>
          <w:sz w:val="22"/>
          <w:szCs w:val="22"/>
        </w:rPr>
        <w:t>”) conforme a lo establecido en el inciso segundo del artículo 147 de la Ley N°18.046, sobre Sociedades Anónimas, y a lo dispuesto en la Norma de Carácter General N°501, de 8 de enero de 2024 de la Comisión para el Mercado Financiero (“</w:t>
      </w:r>
      <w:r w:rsidRPr="007D50DF">
        <w:rPr>
          <w:rFonts w:ascii="Calibri" w:hAnsi="Calibri" w:cs="Calibri"/>
          <w:i/>
          <w:iCs/>
          <w:sz w:val="22"/>
          <w:szCs w:val="22"/>
          <w:u w:val="single"/>
        </w:rPr>
        <w:t>CMF</w:t>
      </w:r>
      <w:r w:rsidRPr="007D50DF">
        <w:rPr>
          <w:rFonts w:ascii="Calibri" w:hAnsi="Calibri" w:cs="Calibri"/>
          <w:i/>
          <w:iCs/>
          <w:sz w:val="22"/>
          <w:szCs w:val="22"/>
        </w:rPr>
        <w:t xml:space="preserve">”), la que comenzó a regir el 1 de septiembre del año 2024. </w:t>
      </w:r>
    </w:p>
    <w:p w14:paraId="61B226AC" w14:textId="77777777" w:rsidR="009307E5" w:rsidRPr="007D50DF" w:rsidRDefault="009307E5" w:rsidP="009307E5">
      <w:pPr>
        <w:jc w:val="both"/>
        <w:rPr>
          <w:rFonts w:ascii="Calibri" w:hAnsi="Calibri" w:cs="Calibri"/>
          <w:i/>
          <w:iCs/>
          <w:sz w:val="22"/>
          <w:szCs w:val="22"/>
        </w:rPr>
      </w:pPr>
    </w:p>
    <w:p w14:paraId="0A8287A7" w14:textId="77777777" w:rsidR="009307E5" w:rsidRDefault="009307E5" w:rsidP="009307E5">
      <w:pPr>
        <w:jc w:val="both"/>
        <w:rPr>
          <w:rFonts w:ascii="Calibri" w:hAnsi="Calibri" w:cs="Calibri"/>
          <w:i/>
          <w:iCs/>
          <w:sz w:val="22"/>
          <w:szCs w:val="22"/>
        </w:rPr>
      </w:pPr>
      <w:r w:rsidRPr="007D50DF">
        <w:rPr>
          <w:rFonts w:ascii="Calibri" w:hAnsi="Calibri" w:cs="Calibri"/>
          <w:i/>
          <w:iCs/>
          <w:sz w:val="22"/>
          <w:szCs w:val="22"/>
        </w:rPr>
        <w:t xml:space="preserve">En sesión de fecha 26 de diciembre de 2025, el </w:t>
      </w:r>
      <w:r>
        <w:rPr>
          <w:rFonts w:ascii="Calibri" w:hAnsi="Calibri" w:cs="Calibri"/>
          <w:i/>
          <w:iCs/>
          <w:sz w:val="22"/>
          <w:szCs w:val="22"/>
        </w:rPr>
        <w:t>D</w:t>
      </w:r>
      <w:r w:rsidRPr="007D50DF">
        <w:rPr>
          <w:rFonts w:ascii="Calibri" w:hAnsi="Calibri" w:cs="Calibri"/>
          <w:i/>
          <w:iCs/>
          <w:sz w:val="22"/>
          <w:szCs w:val="22"/>
        </w:rPr>
        <w:t>irectorio de la Sociedad acordó modificar y complementar la mencionada Política, estableciendo un mecanismo de control interno ex ante junto con indicar el procedimiento de aprobación y de verificación al que se someterán las operaciones con partes relacionadas (la “</w:t>
      </w:r>
      <w:r w:rsidRPr="007D50DF">
        <w:rPr>
          <w:rFonts w:ascii="Calibri" w:hAnsi="Calibri" w:cs="Calibri"/>
          <w:i/>
          <w:iCs/>
          <w:sz w:val="22"/>
          <w:szCs w:val="22"/>
          <w:u w:val="single"/>
        </w:rPr>
        <w:t>Operación</w:t>
      </w:r>
      <w:r w:rsidRPr="007D50DF">
        <w:rPr>
          <w:rFonts w:ascii="Calibri" w:hAnsi="Calibri" w:cs="Calibri"/>
          <w:i/>
          <w:iCs/>
          <w:sz w:val="22"/>
          <w:szCs w:val="22"/>
        </w:rPr>
        <w:t>” y/u “</w:t>
      </w:r>
      <w:r w:rsidRPr="007D50DF">
        <w:rPr>
          <w:rFonts w:ascii="Calibri" w:hAnsi="Calibri" w:cs="Calibri"/>
          <w:i/>
          <w:iCs/>
          <w:sz w:val="22"/>
          <w:szCs w:val="22"/>
          <w:u w:val="single"/>
        </w:rPr>
        <w:t>Operaciones</w:t>
      </w:r>
      <w:r w:rsidRPr="007D50DF">
        <w:rPr>
          <w:rFonts w:ascii="Calibri" w:hAnsi="Calibri" w:cs="Calibri"/>
          <w:i/>
          <w:iCs/>
          <w:sz w:val="22"/>
          <w:szCs w:val="22"/>
        </w:rPr>
        <w:t>”) celebradas en el marco de la Política. Lo anterior con el fin de resguardar el cumplimiento de los requisitos legales, normativos y de la Política, garantizando que la operación contribuya al interés social y se ajuste a los precios, términos y condiciones que prevalecen en el mercado.</w:t>
      </w:r>
    </w:p>
    <w:p w14:paraId="4C9ACC1D" w14:textId="77777777" w:rsidR="009307E5" w:rsidRDefault="009307E5" w:rsidP="009307E5">
      <w:pPr>
        <w:jc w:val="both"/>
        <w:rPr>
          <w:rFonts w:ascii="Calibri" w:hAnsi="Calibri" w:cs="Calibri"/>
          <w:i/>
          <w:iCs/>
          <w:sz w:val="22"/>
          <w:szCs w:val="22"/>
        </w:rPr>
      </w:pPr>
    </w:p>
    <w:p w14:paraId="69954215" w14:textId="77777777" w:rsidR="009307E5" w:rsidRDefault="009307E5" w:rsidP="009307E5">
      <w:pPr>
        <w:jc w:val="both"/>
        <w:rPr>
          <w:rFonts w:ascii="Calibri" w:hAnsi="Calibri" w:cs="Calibri"/>
          <w:i/>
          <w:iCs/>
          <w:sz w:val="22"/>
          <w:szCs w:val="22"/>
        </w:rPr>
      </w:pPr>
      <w:r>
        <w:rPr>
          <w:rFonts w:ascii="Calibri" w:hAnsi="Calibri" w:cs="Calibri"/>
          <w:i/>
          <w:iCs/>
          <w:sz w:val="22"/>
          <w:szCs w:val="22"/>
        </w:rPr>
        <w:t>En sesión de fecha 23 de junio de 2026, el Directorio de la Sociedad decidió incorporar como operaciones que serán consideradas como habituales para los efectos de la Política, el o</w:t>
      </w:r>
      <w:r w:rsidRPr="00A75AA7">
        <w:rPr>
          <w:rFonts w:ascii="Calibri" w:hAnsi="Calibri" w:cs="Calibri"/>
          <w:i/>
          <w:iCs/>
          <w:sz w:val="22"/>
          <w:szCs w:val="22"/>
        </w:rPr>
        <w:t>torgamiento de garantías para caucionar obligaciones financieras futuras de sus sociedades relacionadas Telefónica Móviles Chile S.A. y/o de Telefónica Chile Servicios Corporativos Limitada, cuando las mismas se contraigan dentro de sus giros ordinarios</w:t>
      </w:r>
      <w:r>
        <w:rPr>
          <w:rFonts w:ascii="Calibri" w:hAnsi="Calibri" w:cs="Calibri"/>
          <w:i/>
          <w:iCs/>
          <w:sz w:val="22"/>
          <w:szCs w:val="22"/>
        </w:rPr>
        <w:t>.</w:t>
      </w:r>
    </w:p>
    <w:p w14:paraId="1E151FC2" w14:textId="77777777" w:rsidR="009307E5" w:rsidRDefault="009307E5" w:rsidP="009307E5">
      <w:pPr>
        <w:jc w:val="both"/>
        <w:rPr>
          <w:rFonts w:ascii="Calibri" w:hAnsi="Calibri" w:cs="Calibri"/>
          <w:i/>
          <w:iCs/>
          <w:sz w:val="22"/>
          <w:szCs w:val="22"/>
        </w:rPr>
      </w:pPr>
    </w:p>
    <w:p w14:paraId="2B70202F" w14:textId="77777777" w:rsidR="009307E5" w:rsidRPr="007D50DF" w:rsidRDefault="009307E5" w:rsidP="009307E5">
      <w:pPr>
        <w:pStyle w:val="Prrafodelista"/>
        <w:numPr>
          <w:ilvl w:val="0"/>
          <w:numId w:val="1"/>
        </w:numPr>
        <w:jc w:val="both"/>
        <w:rPr>
          <w:rFonts w:ascii="Calibri" w:hAnsi="Calibri" w:cs="Calibri"/>
          <w:i/>
          <w:iCs/>
          <w:sz w:val="22"/>
          <w:szCs w:val="22"/>
          <w:u w:val="single"/>
        </w:rPr>
      </w:pPr>
      <w:r w:rsidRPr="007D50DF">
        <w:rPr>
          <w:rFonts w:ascii="Calibri" w:hAnsi="Calibri" w:cs="Calibri"/>
          <w:i/>
          <w:iCs/>
          <w:sz w:val="22"/>
          <w:szCs w:val="22"/>
          <w:u w:val="single"/>
        </w:rPr>
        <w:t xml:space="preserve">Actores intervinientes </w:t>
      </w:r>
    </w:p>
    <w:p w14:paraId="078F623A" w14:textId="77777777" w:rsidR="009307E5" w:rsidRPr="007D50DF" w:rsidRDefault="009307E5" w:rsidP="009307E5">
      <w:pPr>
        <w:jc w:val="both"/>
        <w:rPr>
          <w:rFonts w:ascii="Calibri" w:hAnsi="Calibri" w:cs="Calibri"/>
          <w:i/>
          <w:iCs/>
          <w:sz w:val="22"/>
          <w:szCs w:val="22"/>
          <w:u w:val="single"/>
        </w:rPr>
      </w:pPr>
    </w:p>
    <w:p w14:paraId="22B7F28F"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 xml:space="preserve">El presente Manual es aplicable a las personas jurídicas que forman parte del Grupo </w:t>
      </w:r>
      <w:r>
        <w:rPr>
          <w:rFonts w:ascii="Calibri" w:hAnsi="Calibri" w:cs="Calibri"/>
          <w:i/>
          <w:iCs/>
          <w:sz w:val="22"/>
          <w:szCs w:val="22"/>
        </w:rPr>
        <w:t>empresarial al que pertenece la Sociedad</w:t>
      </w:r>
      <w:r w:rsidRPr="007D50DF">
        <w:rPr>
          <w:rFonts w:ascii="Calibri" w:hAnsi="Calibri" w:cs="Calibri"/>
          <w:i/>
          <w:iCs/>
          <w:sz w:val="22"/>
          <w:szCs w:val="22"/>
        </w:rPr>
        <w:t xml:space="preserve">. </w:t>
      </w:r>
    </w:p>
    <w:p w14:paraId="05E1273A" w14:textId="77777777" w:rsidR="009307E5" w:rsidRPr="007D50DF" w:rsidRDefault="009307E5" w:rsidP="009307E5">
      <w:pPr>
        <w:jc w:val="both"/>
        <w:rPr>
          <w:rFonts w:ascii="Calibri" w:hAnsi="Calibri" w:cs="Calibri"/>
          <w:i/>
          <w:iCs/>
          <w:sz w:val="22"/>
          <w:szCs w:val="22"/>
        </w:rPr>
      </w:pPr>
    </w:p>
    <w:p w14:paraId="29AA964B"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Las áreas y órganos que intervienen en el control, revisión y aprobación de las operaciones habituales con partes relacionadas son los siguientes:</w:t>
      </w:r>
    </w:p>
    <w:p w14:paraId="105473E5" w14:textId="77777777" w:rsidR="009307E5" w:rsidRPr="007D50DF" w:rsidRDefault="009307E5" w:rsidP="009307E5">
      <w:pPr>
        <w:jc w:val="both"/>
        <w:rPr>
          <w:rFonts w:ascii="Calibri" w:hAnsi="Calibri" w:cs="Calibri"/>
          <w:i/>
          <w:iCs/>
          <w:sz w:val="22"/>
          <w:szCs w:val="22"/>
        </w:rPr>
      </w:pPr>
    </w:p>
    <w:p w14:paraId="12EED7F5" w14:textId="77777777" w:rsidR="009307E5" w:rsidRPr="007D50DF" w:rsidRDefault="009307E5" w:rsidP="009307E5">
      <w:pPr>
        <w:pStyle w:val="Prrafodelista"/>
        <w:numPr>
          <w:ilvl w:val="0"/>
          <w:numId w:val="3"/>
        </w:numPr>
        <w:jc w:val="both"/>
        <w:rPr>
          <w:rFonts w:ascii="Calibri" w:hAnsi="Calibri" w:cs="Calibri"/>
          <w:i/>
          <w:iCs/>
          <w:sz w:val="22"/>
          <w:szCs w:val="22"/>
        </w:rPr>
      </w:pPr>
      <w:r w:rsidRPr="007D50DF">
        <w:rPr>
          <w:rFonts w:ascii="Calibri" w:hAnsi="Calibri" w:cs="Calibri"/>
          <w:i/>
          <w:iCs/>
          <w:sz w:val="22"/>
          <w:szCs w:val="22"/>
          <w:u w:val="single"/>
        </w:rPr>
        <w:t>Área Gestora</w:t>
      </w:r>
      <w:r w:rsidRPr="007D50DF">
        <w:rPr>
          <w:rFonts w:ascii="Calibri" w:hAnsi="Calibri" w:cs="Calibri"/>
          <w:i/>
          <w:iCs/>
          <w:sz w:val="22"/>
          <w:szCs w:val="22"/>
        </w:rPr>
        <w:t>: área que identifica la necesidad de contratar con una parte relacionada y remite los antecedentes de la Operación para su revisión.</w:t>
      </w:r>
    </w:p>
    <w:p w14:paraId="6FDF9B95" w14:textId="77777777" w:rsidR="009307E5" w:rsidRPr="007D50DF" w:rsidRDefault="009307E5" w:rsidP="009307E5">
      <w:pPr>
        <w:jc w:val="both"/>
        <w:rPr>
          <w:rFonts w:ascii="Calibri" w:hAnsi="Calibri" w:cs="Calibri"/>
          <w:i/>
          <w:iCs/>
          <w:sz w:val="22"/>
          <w:szCs w:val="22"/>
        </w:rPr>
      </w:pPr>
    </w:p>
    <w:p w14:paraId="70608B34" w14:textId="77777777" w:rsidR="009307E5" w:rsidRPr="007D50DF" w:rsidRDefault="009307E5" w:rsidP="009307E5">
      <w:pPr>
        <w:pStyle w:val="Prrafodelista"/>
        <w:numPr>
          <w:ilvl w:val="0"/>
          <w:numId w:val="3"/>
        </w:numPr>
        <w:jc w:val="both"/>
        <w:rPr>
          <w:rFonts w:ascii="Calibri" w:hAnsi="Calibri" w:cs="Calibri"/>
          <w:i/>
          <w:iCs/>
          <w:sz w:val="22"/>
          <w:szCs w:val="22"/>
        </w:rPr>
      </w:pPr>
      <w:r w:rsidRPr="007D50DF">
        <w:rPr>
          <w:rFonts w:ascii="Calibri" w:hAnsi="Calibri" w:cs="Calibri"/>
          <w:i/>
          <w:iCs/>
          <w:sz w:val="22"/>
          <w:szCs w:val="22"/>
          <w:u w:val="single"/>
        </w:rPr>
        <w:t>Área de Control de Gestión</w:t>
      </w:r>
      <w:r w:rsidRPr="007D50DF">
        <w:rPr>
          <w:rFonts w:ascii="Calibri" w:hAnsi="Calibri" w:cs="Calibri"/>
          <w:i/>
          <w:iCs/>
          <w:sz w:val="22"/>
          <w:szCs w:val="22"/>
        </w:rPr>
        <w:t>: área encargada de elaborar el programa anual de revisión de operaciones con partes relacionadas; revisar los precios de transferencia; coordinar la revisión por terceros independientes cuando corresponda; y mantener actualizado el inventario de operaciones intragrupo, internas, nacionales y extranjeras, con sus respectivos administradores de contrato.</w:t>
      </w:r>
    </w:p>
    <w:p w14:paraId="42C92F45" w14:textId="77777777" w:rsidR="009307E5" w:rsidRPr="007D50DF" w:rsidRDefault="009307E5" w:rsidP="009307E5">
      <w:pPr>
        <w:jc w:val="both"/>
        <w:rPr>
          <w:rFonts w:ascii="Calibri" w:hAnsi="Calibri" w:cs="Calibri"/>
          <w:i/>
          <w:iCs/>
          <w:sz w:val="22"/>
          <w:szCs w:val="22"/>
        </w:rPr>
      </w:pPr>
    </w:p>
    <w:p w14:paraId="3B273AC4" w14:textId="77777777" w:rsidR="009307E5" w:rsidRPr="007D50DF" w:rsidRDefault="009307E5" w:rsidP="009307E5">
      <w:pPr>
        <w:pStyle w:val="Prrafodelista"/>
        <w:numPr>
          <w:ilvl w:val="0"/>
          <w:numId w:val="3"/>
        </w:numPr>
        <w:jc w:val="both"/>
        <w:rPr>
          <w:rFonts w:ascii="Calibri" w:hAnsi="Calibri" w:cs="Calibri"/>
          <w:i/>
          <w:iCs/>
          <w:sz w:val="22"/>
          <w:szCs w:val="22"/>
        </w:rPr>
      </w:pPr>
      <w:r w:rsidRPr="007D50DF">
        <w:rPr>
          <w:rFonts w:ascii="Calibri" w:hAnsi="Calibri" w:cs="Calibri"/>
          <w:i/>
          <w:iCs/>
          <w:sz w:val="22"/>
          <w:szCs w:val="22"/>
          <w:u w:val="single"/>
        </w:rPr>
        <w:t>Área de Secretaría General</w:t>
      </w:r>
      <w:r w:rsidRPr="007D50DF">
        <w:rPr>
          <w:rFonts w:ascii="Calibri" w:hAnsi="Calibri" w:cs="Calibri"/>
          <w:i/>
          <w:iCs/>
          <w:sz w:val="22"/>
          <w:szCs w:val="22"/>
        </w:rPr>
        <w:t>: área responsable de la redacción y revisión jurídica de los contratos asociados a las Operaciones.</w:t>
      </w:r>
    </w:p>
    <w:p w14:paraId="6B063CBB" w14:textId="77777777" w:rsidR="009307E5" w:rsidRPr="007D50DF" w:rsidRDefault="009307E5" w:rsidP="009307E5">
      <w:pPr>
        <w:jc w:val="both"/>
        <w:rPr>
          <w:rFonts w:ascii="Calibri" w:hAnsi="Calibri" w:cs="Calibri"/>
          <w:i/>
          <w:iCs/>
          <w:sz w:val="22"/>
          <w:szCs w:val="22"/>
        </w:rPr>
      </w:pPr>
    </w:p>
    <w:p w14:paraId="6954AF5E" w14:textId="77777777" w:rsidR="009307E5" w:rsidRPr="007D50DF" w:rsidRDefault="009307E5" w:rsidP="009307E5">
      <w:pPr>
        <w:pStyle w:val="Prrafodelista"/>
        <w:numPr>
          <w:ilvl w:val="0"/>
          <w:numId w:val="3"/>
        </w:numPr>
        <w:jc w:val="both"/>
        <w:rPr>
          <w:rFonts w:ascii="Calibri" w:hAnsi="Calibri" w:cs="Calibri"/>
          <w:i/>
          <w:iCs/>
          <w:sz w:val="22"/>
          <w:szCs w:val="22"/>
        </w:rPr>
      </w:pPr>
      <w:r w:rsidRPr="007D50DF">
        <w:rPr>
          <w:rFonts w:ascii="Calibri" w:hAnsi="Calibri" w:cs="Calibri"/>
          <w:i/>
          <w:iCs/>
          <w:sz w:val="22"/>
          <w:szCs w:val="22"/>
          <w:u w:val="single"/>
        </w:rPr>
        <w:lastRenderedPageBreak/>
        <w:t>Comité de Aseguramiento</w:t>
      </w:r>
      <w:r w:rsidRPr="007D50DF">
        <w:rPr>
          <w:rFonts w:ascii="Calibri" w:hAnsi="Calibri" w:cs="Calibri"/>
          <w:i/>
          <w:iCs/>
          <w:sz w:val="22"/>
          <w:szCs w:val="22"/>
        </w:rPr>
        <w:t xml:space="preserve">: órgano designado por el </w:t>
      </w:r>
      <w:r>
        <w:rPr>
          <w:rFonts w:ascii="Calibri" w:hAnsi="Calibri" w:cs="Calibri"/>
          <w:i/>
          <w:iCs/>
          <w:sz w:val="22"/>
          <w:szCs w:val="22"/>
        </w:rPr>
        <w:t>D</w:t>
      </w:r>
      <w:r w:rsidRPr="007D50DF">
        <w:rPr>
          <w:rFonts w:ascii="Calibri" w:hAnsi="Calibri" w:cs="Calibri"/>
          <w:i/>
          <w:iCs/>
          <w:sz w:val="22"/>
          <w:szCs w:val="22"/>
        </w:rPr>
        <w:t>irectorio de la Sociedad para revisar y pronunciarse, de manera previa a su perfeccionamiento, respecto de las operaciones con partes relacionadas que se sometan a su aprobación, conforme al programa anual definido (el “</w:t>
      </w:r>
      <w:r w:rsidRPr="007D50DF">
        <w:rPr>
          <w:rFonts w:ascii="Calibri" w:hAnsi="Calibri" w:cs="Calibri"/>
          <w:i/>
          <w:iCs/>
          <w:sz w:val="22"/>
          <w:szCs w:val="22"/>
          <w:u w:val="single"/>
        </w:rPr>
        <w:t>Comité</w:t>
      </w:r>
      <w:r w:rsidRPr="007D50DF">
        <w:rPr>
          <w:rFonts w:ascii="Calibri" w:hAnsi="Calibri" w:cs="Calibri"/>
          <w:i/>
          <w:iCs/>
          <w:sz w:val="22"/>
          <w:szCs w:val="22"/>
        </w:rPr>
        <w:t>”).</w:t>
      </w:r>
    </w:p>
    <w:p w14:paraId="70D89677" w14:textId="77777777" w:rsidR="009307E5" w:rsidRPr="007D50DF" w:rsidRDefault="009307E5" w:rsidP="009307E5">
      <w:pPr>
        <w:jc w:val="both"/>
        <w:rPr>
          <w:rFonts w:ascii="Calibri" w:hAnsi="Calibri" w:cs="Calibri"/>
          <w:i/>
          <w:iCs/>
          <w:sz w:val="22"/>
          <w:szCs w:val="22"/>
        </w:rPr>
      </w:pPr>
    </w:p>
    <w:p w14:paraId="401153F5" w14:textId="77777777" w:rsidR="009307E5" w:rsidRPr="007D50DF" w:rsidRDefault="009307E5" w:rsidP="009307E5">
      <w:pPr>
        <w:pStyle w:val="Prrafodelista"/>
        <w:numPr>
          <w:ilvl w:val="0"/>
          <w:numId w:val="3"/>
        </w:numPr>
        <w:jc w:val="both"/>
        <w:rPr>
          <w:rFonts w:ascii="Calibri" w:hAnsi="Calibri" w:cs="Calibri"/>
          <w:i/>
          <w:iCs/>
          <w:sz w:val="22"/>
          <w:szCs w:val="22"/>
        </w:rPr>
      </w:pPr>
      <w:r w:rsidRPr="007D50DF">
        <w:rPr>
          <w:rFonts w:ascii="Calibri" w:hAnsi="Calibri" w:cs="Calibri"/>
          <w:i/>
          <w:iCs/>
          <w:sz w:val="22"/>
          <w:szCs w:val="22"/>
          <w:u w:val="single"/>
        </w:rPr>
        <w:t>Área de Contabilidad</w:t>
      </w:r>
      <w:r w:rsidRPr="007D50DF">
        <w:rPr>
          <w:rFonts w:ascii="Calibri" w:hAnsi="Calibri" w:cs="Calibri"/>
          <w:i/>
          <w:iCs/>
          <w:sz w:val="22"/>
          <w:szCs w:val="22"/>
        </w:rPr>
        <w:t>: área encargada del registro contable de las Operaciones que hayan sido aprobadas.</w:t>
      </w:r>
    </w:p>
    <w:p w14:paraId="73CEBA3D" w14:textId="77777777" w:rsidR="009307E5" w:rsidRPr="007D50DF" w:rsidRDefault="009307E5" w:rsidP="009307E5">
      <w:pPr>
        <w:pStyle w:val="Prrafodelista"/>
        <w:jc w:val="both"/>
        <w:rPr>
          <w:rFonts w:ascii="Calibri" w:hAnsi="Calibri" w:cs="Calibri"/>
          <w:i/>
          <w:iCs/>
          <w:sz w:val="22"/>
          <w:szCs w:val="22"/>
          <w:u w:val="single"/>
        </w:rPr>
      </w:pPr>
    </w:p>
    <w:p w14:paraId="5CCBA700" w14:textId="77777777" w:rsidR="009307E5" w:rsidRPr="007D50DF" w:rsidRDefault="009307E5" w:rsidP="009307E5">
      <w:pPr>
        <w:pStyle w:val="Prrafodelista"/>
        <w:numPr>
          <w:ilvl w:val="0"/>
          <w:numId w:val="1"/>
        </w:numPr>
        <w:jc w:val="both"/>
        <w:rPr>
          <w:rFonts w:ascii="Calibri" w:hAnsi="Calibri" w:cs="Calibri"/>
          <w:i/>
          <w:iCs/>
          <w:sz w:val="22"/>
          <w:szCs w:val="22"/>
          <w:u w:val="single"/>
        </w:rPr>
      </w:pPr>
      <w:r w:rsidRPr="007D50DF">
        <w:rPr>
          <w:rFonts w:ascii="Calibri" w:hAnsi="Calibri" w:cs="Calibri"/>
          <w:i/>
          <w:iCs/>
          <w:sz w:val="22"/>
          <w:szCs w:val="22"/>
          <w:u w:val="single"/>
        </w:rPr>
        <w:t>Procedimiento de control ex ante</w:t>
      </w:r>
    </w:p>
    <w:p w14:paraId="0BD29A1F" w14:textId="77777777" w:rsidR="009307E5" w:rsidRPr="007D50DF" w:rsidRDefault="009307E5" w:rsidP="009307E5">
      <w:pPr>
        <w:jc w:val="both"/>
        <w:rPr>
          <w:rFonts w:ascii="Calibri" w:hAnsi="Calibri" w:cs="Calibri"/>
          <w:i/>
          <w:iCs/>
          <w:sz w:val="22"/>
          <w:szCs w:val="22"/>
        </w:rPr>
      </w:pPr>
    </w:p>
    <w:p w14:paraId="296F590D"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 xml:space="preserve">Una vez identificada una Operación, el Área Gestora deberá remitir los antecedentes de ésta al Área de Control de Gestión, la que realizará el análisis preliminar correspondiente y, cuando proceda, coordinará la evaluación de las condiciones económicas de la Operación por un tercero independiente. </w:t>
      </w:r>
    </w:p>
    <w:p w14:paraId="2FB80DA2" w14:textId="77777777" w:rsidR="009307E5" w:rsidRPr="007D50DF" w:rsidRDefault="009307E5" w:rsidP="009307E5">
      <w:pPr>
        <w:jc w:val="both"/>
        <w:rPr>
          <w:rFonts w:ascii="Calibri" w:hAnsi="Calibri" w:cs="Calibri"/>
          <w:i/>
          <w:iCs/>
          <w:sz w:val="22"/>
          <w:szCs w:val="22"/>
        </w:rPr>
      </w:pPr>
    </w:p>
    <w:p w14:paraId="42EFC563"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 xml:space="preserve">De conformidad con lo regulado en el artículo décimo octavo del Reglamento del Directorio de la Sociedad, y previo al perfeccionamiento de la Operación, el Comité deberá: </w:t>
      </w:r>
    </w:p>
    <w:p w14:paraId="03743006" w14:textId="77777777" w:rsidR="009307E5" w:rsidRPr="007D50DF" w:rsidRDefault="009307E5" w:rsidP="009307E5">
      <w:pPr>
        <w:jc w:val="both"/>
        <w:rPr>
          <w:rFonts w:ascii="Calibri" w:hAnsi="Calibri" w:cs="Calibri"/>
          <w:i/>
          <w:iCs/>
          <w:sz w:val="22"/>
          <w:szCs w:val="22"/>
        </w:rPr>
      </w:pPr>
    </w:p>
    <w:p w14:paraId="1B630D7B" w14:textId="77777777" w:rsidR="009307E5" w:rsidRPr="007D50DF" w:rsidRDefault="009307E5" w:rsidP="009307E5">
      <w:pPr>
        <w:pStyle w:val="Prrafodelista"/>
        <w:numPr>
          <w:ilvl w:val="0"/>
          <w:numId w:val="2"/>
        </w:numPr>
        <w:jc w:val="both"/>
        <w:rPr>
          <w:rFonts w:ascii="Calibri" w:hAnsi="Calibri" w:cs="Calibri"/>
          <w:i/>
          <w:iCs/>
          <w:sz w:val="22"/>
          <w:szCs w:val="22"/>
        </w:rPr>
      </w:pPr>
      <w:r w:rsidRPr="007D50DF">
        <w:rPr>
          <w:rFonts w:ascii="Calibri" w:hAnsi="Calibri" w:cs="Calibri"/>
          <w:i/>
          <w:iCs/>
          <w:sz w:val="22"/>
          <w:szCs w:val="22"/>
        </w:rPr>
        <w:t>Una vez tomado conocimiento de la Operación deberá verificar si cumple o no con los requisitos para ser considerada habitual según lo indicado en la sección 3 numeral (iii) y (iv) de la Política, así como con las demás exigencias legales y normativas aplicables.</w:t>
      </w:r>
    </w:p>
    <w:p w14:paraId="4208DD1C" w14:textId="77777777" w:rsidR="009307E5" w:rsidRPr="007D50DF" w:rsidRDefault="009307E5" w:rsidP="009307E5">
      <w:pPr>
        <w:pStyle w:val="Prrafodelista"/>
        <w:jc w:val="both"/>
        <w:rPr>
          <w:rFonts w:ascii="Calibri" w:hAnsi="Calibri" w:cs="Calibri"/>
          <w:i/>
          <w:iCs/>
          <w:sz w:val="22"/>
          <w:szCs w:val="22"/>
        </w:rPr>
      </w:pPr>
    </w:p>
    <w:p w14:paraId="69174234" w14:textId="77777777" w:rsidR="009307E5" w:rsidRPr="007D50DF" w:rsidRDefault="009307E5" w:rsidP="009307E5">
      <w:pPr>
        <w:pStyle w:val="Prrafodelista"/>
        <w:numPr>
          <w:ilvl w:val="0"/>
          <w:numId w:val="2"/>
        </w:numPr>
        <w:jc w:val="both"/>
        <w:rPr>
          <w:rFonts w:ascii="Calibri" w:hAnsi="Calibri" w:cs="Calibri"/>
          <w:i/>
          <w:iCs/>
          <w:sz w:val="22"/>
          <w:szCs w:val="22"/>
        </w:rPr>
      </w:pPr>
      <w:r w:rsidRPr="007D50DF">
        <w:rPr>
          <w:rFonts w:ascii="Calibri" w:hAnsi="Calibri" w:cs="Calibri"/>
          <w:i/>
          <w:iCs/>
          <w:sz w:val="22"/>
          <w:szCs w:val="22"/>
        </w:rPr>
        <w:t>Deberá confirmar que la Operación presentada a su evaluación se ajusta a los precios, términos y condiciones que prevalecen en el mercado al tiempo de su celebración.</w:t>
      </w:r>
    </w:p>
    <w:p w14:paraId="3C53A639" w14:textId="77777777" w:rsidR="009307E5" w:rsidRPr="007D50DF" w:rsidRDefault="009307E5" w:rsidP="009307E5">
      <w:pPr>
        <w:pStyle w:val="Prrafodelista"/>
        <w:jc w:val="both"/>
        <w:rPr>
          <w:rFonts w:ascii="Calibri" w:hAnsi="Calibri" w:cs="Calibri"/>
          <w:i/>
          <w:iCs/>
          <w:sz w:val="22"/>
          <w:szCs w:val="22"/>
        </w:rPr>
      </w:pPr>
    </w:p>
    <w:p w14:paraId="701CB0AC" w14:textId="77777777" w:rsidR="009307E5" w:rsidRPr="007D50DF" w:rsidRDefault="009307E5" w:rsidP="009307E5">
      <w:pPr>
        <w:pStyle w:val="Prrafodelista"/>
        <w:numPr>
          <w:ilvl w:val="0"/>
          <w:numId w:val="2"/>
        </w:numPr>
        <w:jc w:val="both"/>
        <w:rPr>
          <w:rFonts w:ascii="Calibri" w:hAnsi="Calibri" w:cs="Calibri"/>
          <w:i/>
          <w:iCs/>
          <w:sz w:val="22"/>
          <w:szCs w:val="22"/>
        </w:rPr>
      </w:pPr>
      <w:r w:rsidRPr="007D50DF">
        <w:rPr>
          <w:rFonts w:ascii="Calibri" w:hAnsi="Calibri" w:cs="Calibri"/>
          <w:i/>
          <w:iCs/>
          <w:sz w:val="22"/>
          <w:szCs w:val="22"/>
        </w:rPr>
        <w:t>En caso de ser necesario, podrá requerir antecedentes adicionales con el objeto de determinar si una Operación se ajusta en precio, términos y condiciones a aquellas que prevalecen en el mercado. Para esto, el Comité podrá solicitar al gerente del área respectiva o al Área de Control de Gestión: (i) cotizaciones o valuaciones diferentes a terceros independientes; o (ii) un informe interno o de un tercero no relacionado, acerca de las condiciones de mercado de la Operación respectiva.</w:t>
      </w:r>
    </w:p>
    <w:p w14:paraId="17B299C4" w14:textId="77777777" w:rsidR="009307E5" w:rsidRPr="007D50DF" w:rsidRDefault="009307E5" w:rsidP="009307E5">
      <w:pPr>
        <w:pStyle w:val="Prrafodelista"/>
        <w:jc w:val="both"/>
        <w:rPr>
          <w:rFonts w:ascii="Calibri" w:hAnsi="Calibri" w:cs="Calibri"/>
          <w:i/>
          <w:iCs/>
          <w:sz w:val="22"/>
          <w:szCs w:val="22"/>
        </w:rPr>
      </w:pPr>
    </w:p>
    <w:p w14:paraId="39C1C19B" w14:textId="77777777" w:rsidR="009307E5" w:rsidRPr="007D50DF" w:rsidRDefault="009307E5" w:rsidP="009307E5">
      <w:pPr>
        <w:pStyle w:val="Prrafodelista"/>
        <w:numPr>
          <w:ilvl w:val="0"/>
          <w:numId w:val="2"/>
        </w:numPr>
        <w:jc w:val="both"/>
        <w:rPr>
          <w:rFonts w:ascii="Calibri" w:hAnsi="Calibri" w:cs="Calibri"/>
          <w:i/>
          <w:iCs/>
          <w:sz w:val="22"/>
          <w:szCs w:val="22"/>
        </w:rPr>
      </w:pPr>
      <w:r w:rsidRPr="007D50DF">
        <w:rPr>
          <w:rFonts w:ascii="Calibri" w:hAnsi="Calibri" w:cs="Calibri"/>
          <w:i/>
          <w:iCs/>
          <w:sz w:val="22"/>
          <w:szCs w:val="22"/>
        </w:rPr>
        <w:t xml:space="preserve">Pronunciarse antes del cierre de la Operación acerca de ésta, ya sea: </w:t>
      </w:r>
    </w:p>
    <w:p w14:paraId="592D2323" w14:textId="77777777" w:rsidR="009307E5" w:rsidRPr="007D50DF" w:rsidRDefault="009307E5" w:rsidP="009307E5">
      <w:pPr>
        <w:jc w:val="both"/>
        <w:rPr>
          <w:rFonts w:ascii="Calibri" w:hAnsi="Calibri" w:cs="Calibri"/>
          <w:i/>
          <w:iCs/>
          <w:sz w:val="22"/>
          <w:szCs w:val="22"/>
        </w:rPr>
      </w:pPr>
    </w:p>
    <w:p w14:paraId="33A9C8A9" w14:textId="77777777" w:rsidR="009307E5" w:rsidRPr="007D50DF" w:rsidRDefault="009307E5" w:rsidP="009307E5">
      <w:pPr>
        <w:pStyle w:val="Prrafodelista"/>
        <w:numPr>
          <w:ilvl w:val="1"/>
          <w:numId w:val="2"/>
        </w:numPr>
        <w:ind w:left="1134" w:hanging="425"/>
        <w:jc w:val="both"/>
        <w:rPr>
          <w:rFonts w:ascii="Calibri" w:hAnsi="Calibri" w:cs="Calibri"/>
          <w:i/>
          <w:iCs/>
          <w:sz w:val="22"/>
          <w:szCs w:val="22"/>
        </w:rPr>
      </w:pPr>
      <w:r w:rsidRPr="007D50DF">
        <w:rPr>
          <w:rFonts w:ascii="Calibri" w:hAnsi="Calibri" w:cs="Calibri"/>
          <w:i/>
          <w:iCs/>
          <w:sz w:val="22"/>
          <w:szCs w:val="22"/>
        </w:rPr>
        <w:t xml:space="preserve">confirmando que sus términos y condiciones son de mercado, que contribuye al interés social de la Sociedad y que, por lo tanto, se puede llevar a cabo sin más trámite por cumplir con los requisitos de la Política y de la normativa vigente; </w:t>
      </w:r>
    </w:p>
    <w:p w14:paraId="1383D829" w14:textId="77777777" w:rsidR="009307E5" w:rsidRPr="007D50DF" w:rsidRDefault="009307E5" w:rsidP="009307E5">
      <w:pPr>
        <w:pStyle w:val="Prrafodelista"/>
        <w:ind w:left="1134"/>
        <w:jc w:val="both"/>
        <w:rPr>
          <w:rFonts w:ascii="Calibri" w:hAnsi="Calibri" w:cs="Calibri"/>
          <w:i/>
          <w:iCs/>
          <w:sz w:val="22"/>
          <w:szCs w:val="22"/>
        </w:rPr>
      </w:pPr>
    </w:p>
    <w:p w14:paraId="44084B6D" w14:textId="77777777" w:rsidR="009307E5" w:rsidRPr="007D50DF" w:rsidRDefault="009307E5" w:rsidP="009307E5">
      <w:pPr>
        <w:pStyle w:val="Prrafodelista"/>
        <w:numPr>
          <w:ilvl w:val="1"/>
          <w:numId w:val="2"/>
        </w:numPr>
        <w:ind w:left="1134" w:hanging="425"/>
        <w:jc w:val="both"/>
        <w:rPr>
          <w:rFonts w:ascii="Calibri" w:hAnsi="Calibri" w:cs="Calibri"/>
          <w:i/>
          <w:iCs/>
          <w:sz w:val="22"/>
          <w:szCs w:val="22"/>
        </w:rPr>
      </w:pPr>
      <w:r w:rsidRPr="007D50DF">
        <w:rPr>
          <w:rFonts w:ascii="Calibri" w:hAnsi="Calibri" w:cs="Calibri"/>
          <w:i/>
          <w:iCs/>
          <w:sz w:val="22"/>
          <w:szCs w:val="22"/>
        </w:rPr>
        <w:t>estableciendo que la información disponible para dicha determinación es insuficiente; o,</w:t>
      </w:r>
    </w:p>
    <w:p w14:paraId="0D4266B9" w14:textId="77777777" w:rsidR="009307E5" w:rsidRPr="007D50DF" w:rsidRDefault="009307E5" w:rsidP="009307E5">
      <w:pPr>
        <w:jc w:val="both"/>
        <w:rPr>
          <w:rFonts w:ascii="Calibri" w:hAnsi="Calibri" w:cs="Calibri"/>
          <w:i/>
          <w:iCs/>
          <w:sz w:val="22"/>
          <w:szCs w:val="22"/>
        </w:rPr>
      </w:pPr>
    </w:p>
    <w:p w14:paraId="476B7DAE" w14:textId="77777777" w:rsidR="009307E5" w:rsidRPr="007D50DF" w:rsidRDefault="009307E5" w:rsidP="009307E5">
      <w:pPr>
        <w:pStyle w:val="Prrafodelista"/>
        <w:numPr>
          <w:ilvl w:val="1"/>
          <w:numId w:val="2"/>
        </w:numPr>
        <w:ind w:left="1134" w:hanging="425"/>
        <w:jc w:val="both"/>
        <w:rPr>
          <w:rFonts w:ascii="Calibri" w:hAnsi="Calibri" w:cs="Calibri"/>
          <w:i/>
          <w:iCs/>
          <w:sz w:val="22"/>
          <w:szCs w:val="22"/>
        </w:rPr>
      </w:pPr>
      <w:r w:rsidRPr="007D50DF">
        <w:rPr>
          <w:rFonts w:ascii="Calibri" w:hAnsi="Calibri" w:cs="Calibri"/>
          <w:i/>
          <w:iCs/>
          <w:sz w:val="22"/>
          <w:szCs w:val="22"/>
        </w:rPr>
        <w:t xml:space="preserve">rechazándola en caso de no cumplir con los requisitos mínimos para ser considerada habitual según lo indicado en la sección 3 numerales (iii) y (iv) de la Política, y demás exigencias legales y normativas aplicables. </w:t>
      </w:r>
    </w:p>
    <w:p w14:paraId="01C15814" w14:textId="77777777" w:rsidR="009307E5" w:rsidRPr="007D50DF" w:rsidRDefault="009307E5" w:rsidP="009307E5">
      <w:pPr>
        <w:pStyle w:val="Prrafodelista"/>
        <w:jc w:val="both"/>
        <w:rPr>
          <w:rFonts w:ascii="Calibri" w:hAnsi="Calibri" w:cs="Calibri"/>
          <w:i/>
          <w:iCs/>
          <w:sz w:val="22"/>
          <w:szCs w:val="22"/>
        </w:rPr>
      </w:pPr>
    </w:p>
    <w:p w14:paraId="715C9EE6" w14:textId="77777777" w:rsidR="009307E5" w:rsidRPr="007D50DF" w:rsidRDefault="009307E5" w:rsidP="009307E5">
      <w:pPr>
        <w:jc w:val="both"/>
        <w:rPr>
          <w:rFonts w:ascii="Calibri" w:hAnsi="Calibri" w:cs="Calibri"/>
          <w:i/>
          <w:iCs/>
          <w:sz w:val="22"/>
          <w:szCs w:val="22"/>
        </w:rPr>
      </w:pPr>
      <w:r w:rsidRPr="007D50DF">
        <w:rPr>
          <w:rFonts w:ascii="Calibri" w:hAnsi="Calibri" w:cs="Calibri"/>
          <w:i/>
          <w:iCs/>
          <w:sz w:val="22"/>
          <w:szCs w:val="22"/>
        </w:rPr>
        <w:t xml:space="preserve">La decisión del Comité de Aseguramiento deberá constar en el acta de la respectiva sesión. </w:t>
      </w:r>
    </w:p>
    <w:p w14:paraId="0948E123" w14:textId="77777777" w:rsidR="009307E5" w:rsidRPr="007D50DF" w:rsidRDefault="009307E5" w:rsidP="009307E5">
      <w:pPr>
        <w:jc w:val="both"/>
        <w:rPr>
          <w:rFonts w:ascii="Calibri" w:hAnsi="Calibri" w:cs="Calibri"/>
          <w:i/>
          <w:iCs/>
          <w:sz w:val="22"/>
          <w:szCs w:val="22"/>
        </w:rPr>
      </w:pPr>
    </w:p>
    <w:p w14:paraId="4BF19E68" w14:textId="77777777" w:rsidR="009307E5" w:rsidRPr="007D50DF" w:rsidRDefault="009307E5" w:rsidP="009307E5">
      <w:pPr>
        <w:jc w:val="both"/>
        <w:rPr>
          <w:rFonts w:ascii="Calibri" w:hAnsi="Calibri" w:cs="Calibri"/>
          <w:i/>
          <w:iCs/>
        </w:rPr>
      </w:pPr>
      <w:r w:rsidRPr="007D50DF">
        <w:rPr>
          <w:rFonts w:ascii="Calibri" w:hAnsi="Calibri" w:cs="Calibri"/>
          <w:i/>
          <w:iCs/>
          <w:sz w:val="22"/>
          <w:szCs w:val="22"/>
        </w:rPr>
        <w:lastRenderedPageBreak/>
        <w:t>Una vez aprobada la Operación, el Área de Secretaría General procederá a la redacción del contrato conforme a los términos autorizados y el Área de Contabilidad efectuará su correspondiente registro contable</w:t>
      </w:r>
      <w:r w:rsidRPr="007D50DF">
        <w:rPr>
          <w:rFonts w:ascii="Calibri" w:hAnsi="Calibri" w:cs="Calibri"/>
          <w:i/>
          <w:iCs/>
        </w:rPr>
        <w:t>.</w:t>
      </w:r>
    </w:p>
    <w:p w14:paraId="0F56D972" w14:textId="77777777" w:rsidR="009307E5" w:rsidRPr="007D50DF" w:rsidRDefault="009307E5" w:rsidP="009307E5">
      <w:pPr>
        <w:jc w:val="center"/>
        <w:rPr>
          <w:rFonts w:ascii="Calibri" w:hAnsi="Calibri" w:cs="Calibri"/>
          <w:sz w:val="22"/>
          <w:szCs w:val="22"/>
        </w:rPr>
      </w:pPr>
    </w:p>
    <w:p w14:paraId="11E09FD7" w14:textId="77777777" w:rsidR="009307E5" w:rsidRPr="007D50DF" w:rsidRDefault="009307E5" w:rsidP="009307E5">
      <w:pPr>
        <w:jc w:val="center"/>
        <w:rPr>
          <w:rFonts w:ascii="Calibri" w:hAnsi="Calibri" w:cs="Calibri"/>
          <w:sz w:val="22"/>
          <w:szCs w:val="22"/>
        </w:rPr>
      </w:pPr>
    </w:p>
    <w:p w14:paraId="7160C223" w14:textId="77777777" w:rsidR="009307E5" w:rsidRDefault="009307E5" w:rsidP="009307E5"/>
    <w:p w14:paraId="01938715" w14:textId="77777777" w:rsidR="009307E5" w:rsidRDefault="009307E5"/>
    <w:sectPr w:rsidR="009307E5" w:rsidSect="009307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8B9"/>
    <w:multiLevelType w:val="hybridMultilevel"/>
    <w:tmpl w:val="542463C8"/>
    <w:lvl w:ilvl="0" w:tplc="3B6026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9905A6"/>
    <w:multiLevelType w:val="hybridMultilevel"/>
    <w:tmpl w:val="619624AE"/>
    <w:lvl w:ilvl="0" w:tplc="04090017">
      <w:start w:val="1"/>
      <w:numFmt w:val="lowerLetter"/>
      <w:lvlText w:val="%1)"/>
      <w:lvlJc w:val="left"/>
      <w:pPr>
        <w:ind w:left="720" w:hanging="360"/>
      </w:pPr>
      <w:rPr>
        <w:rFonts w:hint="default"/>
      </w:rPr>
    </w:lvl>
    <w:lvl w:ilvl="1" w:tplc="05DC3898">
      <w:start w:val="1"/>
      <w:numFmt w:val="lowerRoman"/>
      <w:lvlText w:val="(%2)"/>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054B3E"/>
    <w:multiLevelType w:val="hybridMultilevel"/>
    <w:tmpl w:val="D0CE2834"/>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490284"/>
    <w:multiLevelType w:val="hybridMultilevel"/>
    <w:tmpl w:val="104EBE90"/>
    <w:lvl w:ilvl="0" w:tplc="99CA7EE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30346867">
    <w:abstractNumId w:val="0"/>
  </w:num>
  <w:num w:numId="2" w16cid:durableId="145902237">
    <w:abstractNumId w:val="1"/>
  </w:num>
  <w:num w:numId="3" w16cid:durableId="1797798076">
    <w:abstractNumId w:val="2"/>
  </w:num>
  <w:num w:numId="4" w16cid:durableId="81869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E5"/>
    <w:rsid w:val="006B01FB"/>
    <w:rsid w:val="009307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5962"/>
  <w15:chartTrackingRefBased/>
  <w15:docId w15:val="{317554B9-C03A-48EB-8E8A-DDEBA4A7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E5"/>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93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7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7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7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7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7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7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7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7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07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07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07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07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07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07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07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07E5"/>
    <w:rPr>
      <w:rFonts w:eastAsiaTheme="majorEastAsia" w:cstheme="majorBidi"/>
      <w:color w:val="272727" w:themeColor="text1" w:themeTint="D8"/>
    </w:rPr>
  </w:style>
  <w:style w:type="paragraph" w:styleId="Ttulo">
    <w:name w:val="Title"/>
    <w:basedOn w:val="Normal"/>
    <w:next w:val="Normal"/>
    <w:link w:val="TtuloCar"/>
    <w:uiPriority w:val="10"/>
    <w:qFormat/>
    <w:rsid w:val="009307E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7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7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7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07E5"/>
    <w:pPr>
      <w:spacing w:before="160"/>
      <w:jc w:val="center"/>
    </w:pPr>
    <w:rPr>
      <w:i/>
      <w:iCs/>
      <w:color w:val="404040" w:themeColor="text1" w:themeTint="BF"/>
    </w:rPr>
  </w:style>
  <w:style w:type="character" w:customStyle="1" w:styleId="CitaCar">
    <w:name w:val="Cita Car"/>
    <w:basedOn w:val="Fuentedeprrafopredeter"/>
    <w:link w:val="Cita"/>
    <w:uiPriority w:val="29"/>
    <w:rsid w:val="009307E5"/>
    <w:rPr>
      <w:i/>
      <w:iCs/>
      <w:color w:val="404040" w:themeColor="text1" w:themeTint="BF"/>
    </w:rPr>
  </w:style>
  <w:style w:type="paragraph" w:styleId="Prrafodelista">
    <w:name w:val="List Paragraph"/>
    <w:basedOn w:val="Normal"/>
    <w:uiPriority w:val="1"/>
    <w:qFormat/>
    <w:rsid w:val="009307E5"/>
    <w:pPr>
      <w:ind w:left="720"/>
      <w:contextualSpacing/>
    </w:pPr>
  </w:style>
  <w:style w:type="character" w:styleId="nfasisintenso">
    <w:name w:val="Intense Emphasis"/>
    <w:basedOn w:val="Fuentedeprrafopredeter"/>
    <w:uiPriority w:val="21"/>
    <w:qFormat/>
    <w:rsid w:val="009307E5"/>
    <w:rPr>
      <w:i/>
      <w:iCs/>
      <w:color w:val="0F4761" w:themeColor="accent1" w:themeShade="BF"/>
    </w:rPr>
  </w:style>
  <w:style w:type="paragraph" w:styleId="Citadestacada">
    <w:name w:val="Intense Quote"/>
    <w:basedOn w:val="Normal"/>
    <w:next w:val="Normal"/>
    <w:link w:val="CitadestacadaCar"/>
    <w:uiPriority w:val="30"/>
    <w:qFormat/>
    <w:rsid w:val="0093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7E5"/>
    <w:rPr>
      <w:i/>
      <w:iCs/>
      <w:color w:val="0F4761" w:themeColor="accent1" w:themeShade="BF"/>
    </w:rPr>
  </w:style>
  <w:style w:type="character" w:styleId="Referenciaintensa">
    <w:name w:val="Intense Reference"/>
    <w:basedOn w:val="Fuentedeprrafopredeter"/>
    <w:uiPriority w:val="32"/>
    <w:qFormat/>
    <w:rsid w:val="00930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4523</Characters>
  <Application>Microsoft Office Word</Application>
  <DocSecurity>0</DocSecurity>
  <Lines>100</Lines>
  <Paragraphs>26</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Monasterio Rebolledo</dc:creator>
  <cp:keywords/>
  <dc:description/>
  <cp:lastModifiedBy>Claudio Monasterio Rebolledo</cp:lastModifiedBy>
  <cp:revision>1</cp:revision>
  <dcterms:created xsi:type="dcterms:W3CDTF">2026-06-24T22:33:00Z</dcterms:created>
  <dcterms:modified xsi:type="dcterms:W3CDTF">2026-06-24T22:35:00Z</dcterms:modified>
</cp:coreProperties>
</file>