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7937" w14:textId="77777777" w:rsidR="00D55B4B" w:rsidRPr="007D50DF" w:rsidRDefault="00D55B4B" w:rsidP="00D55B4B">
      <w:pPr>
        <w:jc w:val="center"/>
        <w:rPr>
          <w:rFonts w:ascii="Calibri" w:hAnsi="Calibri" w:cs="Calibri"/>
          <w:b/>
          <w:bCs/>
          <w:i/>
          <w:iCs/>
          <w:sz w:val="22"/>
          <w:szCs w:val="22"/>
        </w:rPr>
      </w:pPr>
      <w:r w:rsidRPr="007D50DF">
        <w:rPr>
          <w:rFonts w:ascii="Calibri" w:hAnsi="Calibri" w:cs="Calibri"/>
          <w:b/>
          <w:bCs/>
          <w:i/>
          <w:iCs/>
          <w:kern w:val="2"/>
          <w:sz w:val="22"/>
          <w:szCs w:val="22"/>
          <w14:ligatures w14:val="standardContextual"/>
        </w:rPr>
        <w:t xml:space="preserve">POLÍTICA GENERAL DE HABITUALIDAD DE TELEFÓNICA CHILE </w:t>
      </w:r>
      <w:r w:rsidRPr="007D50DF">
        <w:rPr>
          <w:rFonts w:ascii="Calibri" w:hAnsi="Calibri" w:cs="Calibri"/>
          <w:b/>
          <w:bCs/>
          <w:i/>
          <w:iCs/>
          <w:sz w:val="22"/>
          <w:szCs w:val="22"/>
        </w:rPr>
        <w:t>S.A.</w:t>
      </w:r>
    </w:p>
    <w:p w14:paraId="2FB73030" w14:textId="77777777" w:rsidR="00D55B4B" w:rsidRPr="007D50DF" w:rsidRDefault="00D55B4B" w:rsidP="00D55B4B">
      <w:pPr>
        <w:jc w:val="both"/>
        <w:rPr>
          <w:rFonts w:ascii="Calibri" w:hAnsi="Calibri" w:cs="Calibri"/>
          <w:i/>
          <w:iCs/>
          <w:sz w:val="22"/>
          <w:szCs w:val="22"/>
        </w:rPr>
      </w:pPr>
    </w:p>
    <w:p w14:paraId="21C068EC" w14:textId="77777777" w:rsidR="00D55B4B" w:rsidRPr="007D50DF" w:rsidRDefault="00D55B4B" w:rsidP="00D55B4B">
      <w:pPr>
        <w:numPr>
          <w:ilvl w:val="0"/>
          <w:numId w:val="5"/>
        </w:numPr>
        <w:jc w:val="both"/>
        <w:rPr>
          <w:rFonts w:ascii="Calibri" w:hAnsi="Calibri" w:cs="Calibri"/>
          <w:i/>
          <w:iCs/>
          <w:sz w:val="22"/>
          <w:szCs w:val="22"/>
        </w:rPr>
      </w:pPr>
      <w:r w:rsidRPr="007D50DF">
        <w:rPr>
          <w:rFonts w:ascii="Calibri" w:hAnsi="Calibri" w:cs="Calibri"/>
          <w:i/>
          <w:iCs/>
          <w:sz w:val="22"/>
          <w:szCs w:val="22"/>
          <w:u w:val="single"/>
        </w:rPr>
        <w:t>Fecha de aprobación por el Directorio y de la última modificación de la Política General de Habitualidad</w:t>
      </w:r>
    </w:p>
    <w:p w14:paraId="6D85E426" w14:textId="77777777" w:rsidR="00D55B4B" w:rsidRPr="007D50DF" w:rsidRDefault="00D55B4B" w:rsidP="00D55B4B">
      <w:pPr>
        <w:jc w:val="both"/>
        <w:rPr>
          <w:rFonts w:ascii="Calibri" w:hAnsi="Calibri" w:cs="Calibri"/>
          <w:i/>
          <w:iCs/>
          <w:sz w:val="22"/>
          <w:szCs w:val="22"/>
        </w:rPr>
      </w:pPr>
    </w:p>
    <w:p w14:paraId="448E6B68" w14:textId="492C1A76"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 xml:space="preserve">La </w:t>
      </w:r>
      <w:bookmarkStart w:id="0" w:name="_Hlk217942771"/>
      <w:r w:rsidRPr="007D50DF">
        <w:rPr>
          <w:rFonts w:ascii="Calibri" w:hAnsi="Calibri" w:cs="Calibri"/>
          <w:i/>
          <w:iCs/>
          <w:kern w:val="2"/>
          <w:sz w:val="22"/>
          <w:szCs w:val="22"/>
          <w14:ligatures w14:val="standardContextual"/>
        </w:rPr>
        <w:t>Política General de Habitualidad</w:t>
      </w:r>
      <w:r w:rsidRPr="007D50DF">
        <w:rPr>
          <w:rFonts w:ascii="Calibri" w:hAnsi="Calibri" w:cs="Calibri"/>
          <w:i/>
          <w:iCs/>
          <w:sz w:val="22"/>
          <w:szCs w:val="22"/>
        </w:rPr>
        <w:t xml:space="preserve"> </w:t>
      </w:r>
      <w:bookmarkEnd w:id="0"/>
      <w:r w:rsidRPr="007D50DF">
        <w:rPr>
          <w:rFonts w:ascii="Calibri" w:hAnsi="Calibri" w:cs="Calibri"/>
          <w:i/>
          <w:iCs/>
          <w:sz w:val="22"/>
          <w:szCs w:val="22"/>
        </w:rPr>
        <w:t>(la “</w:t>
      </w:r>
      <w:r w:rsidRPr="007D50DF">
        <w:rPr>
          <w:rFonts w:ascii="Calibri" w:hAnsi="Calibri" w:cs="Calibri"/>
          <w:i/>
          <w:iCs/>
          <w:sz w:val="22"/>
          <w:szCs w:val="22"/>
          <w:u w:val="single"/>
        </w:rPr>
        <w:t>Política</w:t>
      </w:r>
      <w:r w:rsidRPr="007D50DF">
        <w:rPr>
          <w:rFonts w:ascii="Calibri" w:hAnsi="Calibri" w:cs="Calibri"/>
          <w:i/>
          <w:iCs/>
          <w:sz w:val="22"/>
          <w:szCs w:val="22"/>
        </w:rPr>
        <w:t>”) de Telefónica Chile S.A. (en adelante indistintamente, “</w:t>
      </w:r>
      <w:r w:rsidRPr="007D50DF">
        <w:rPr>
          <w:rFonts w:ascii="Calibri" w:hAnsi="Calibri" w:cs="Calibri"/>
          <w:i/>
          <w:iCs/>
          <w:sz w:val="22"/>
          <w:szCs w:val="22"/>
          <w:u w:val="single"/>
        </w:rPr>
        <w:t>T</w:t>
      </w:r>
      <w:r w:rsidR="00D966DB">
        <w:rPr>
          <w:rFonts w:ascii="Calibri" w:hAnsi="Calibri" w:cs="Calibri"/>
          <w:i/>
          <w:iCs/>
          <w:sz w:val="22"/>
          <w:szCs w:val="22"/>
          <w:u w:val="single"/>
        </w:rPr>
        <w:t>CH</w:t>
      </w:r>
      <w:r w:rsidRPr="007D50DF">
        <w:rPr>
          <w:rFonts w:ascii="Calibri" w:hAnsi="Calibri" w:cs="Calibri"/>
          <w:i/>
          <w:iCs/>
          <w:sz w:val="22"/>
          <w:szCs w:val="22"/>
        </w:rPr>
        <w:t>” o la “</w:t>
      </w:r>
      <w:r w:rsidRPr="007D50DF">
        <w:rPr>
          <w:rFonts w:ascii="Calibri" w:hAnsi="Calibri" w:cs="Calibri"/>
          <w:i/>
          <w:iCs/>
          <w:sz w:val="22"/>
          <w:szCs w:val="22"/>
          <w:u w:val="single"/>
        </w:rPr>
        <w:t>Sociedad</w:t>
      </w:r>
      <w:r w:rsidRPr="007D50DF">
        <w:rPr>
          <w:rFonts w:ascii="Calibri" w:hAnsi="Calibri" w:cs="Calibri"/>
          <w:i/>
          <w:iCs/>
          <w:sz w:val="22"/>
          <w:szCs w:val="22"/>
        </w:rPr>
        <w:t xml:space="preserve">”) fue aprobada en sesión de Directorio celebrada con fecha 29 de agosto de 2024. </w:t>
      </w:r>
    </w:p>
    <w:p w14:paraId="26BB5A50" w14:textId="77777777" w:rsidR="00D55B4B" w:rsidRPr="007D50DF" w:rsidRDefault="00D55B4B" w:rsidP="00D55B4B">
      <w:pPr>
        <w:jc w:val="both"/>
        <w:rPr>
          <w:rFonts w:ascii="Calibri" w:hAnsi="Calibri" w:cs="Calibri"/>
          <w:i/>
          <w:iCs/>
          <w:sz w:val="22"/>
          <w:szCs w:val="22"/>
        </w:rPr>
      </w:pPr>
    </w:p>
    <w:p w14:paraId="7C846741" w14:textId="694420C4"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 xml:space="preserve">La Política ha sido modificada en </w:t>
      </w:r>
      <w:r w:rsidR="00E93477">
        <w:rPr>
          <w:rFonts w:ascii="Calibri" w:hAnsi="Calibri" w:cs="Calibri"/>
          <w:i/>
          <w:iCs/>
          <w:sz w:val="22"/>
          <w:szCs w:val="22"/>
        </w:rPr>
        <w:t>dos</w:t>
      </w:r>
      <w:r w:rsidRPr="007D50DF">
        <w:rPr>
          <w:rFonts w:ascii="Calibri" w:hAnsi="Calibri" w:cs="Calibri"/>
          <w:i/>
          <w:iCs/>
          <w:sz w:val="22"/>
          <w:szCs w:val="22"/>
        </w:rPr>
        <w:t xml:space="preserve"> oportunidad</w:t>
      </w:r>
      <w:r w:rsidR="00E93477">
        <w:rPr>
          <w:rFonts w:ascii="Calibri" w:hAnsi="Calibri" w:cs="Calibri"/>
          <w:i/>
          <w:iCs/>
          <w:sz w:val="22"/>
          <w:szCs w:val="22"/>
        </w:rPr>
        <w:t>es</w:t>
      </w:r>
      <w:r w:rsidR="00D966DB">
        <w:rPr>
          <w:rFonts w:ascii="Calibri" w:hAnsi="Calibri" w:cs="Calibri"/>
          <w:i/>
          <w:iCs/>
          <w:sz w:val="22"/>
          <w:szCs w:val="22"/>
        </w:rPr>
        <w:t>,</w:t>
      </w:r>
      <w:r w:rsidR="00E93477">
        <w:rPr>
          <w:rFonts w:ascii="Calibri" w:hAnsi="Calibri" w:cs="Calibri"/>
          <w:i/>
          <w:iCs/>
          <w:sz w:val="22"/>
          <w:szCs w:val="22"/>
        </w:rPr>
        <w:t xml:space="preserve"> en sesiones</w:t>
      </w:r>
      <w:r w:rsidRPr="007D50DF">
        <w:rPr>
          <w:rFonts w:ascii="Calibri" w:hAnsi="Calibri" w:cs="Calibri"/>
          <w:i/>
          <w:iCs/>
          <w:sz w:val="22"/>
          <w:szCs w:val="22"/>
        </w:rPr>
        <w:t xml:space="preserve"> de Directorio celebrada</w:t>
      </w:r>
      <w:r w:rsidR="00E93477">
        <w:rPr>
          <w:rFonts w:ascii="Calibri" w:hAnsi="Calibri" w:cs="Calibri"/>
          <w:i/>
          <w:iCs/>
          <w:sz w:val="22"/>
          <w:szCs w:val="22"/>
        </w:rPr>
        <w:t>s</w:t>
      </w:r>
      <w:r w:rsidRPr="007D50DF">
        <w:rPr>
          <w:rFonts w:ascii="Calibri" w:hAnsi="Calibri" w:cs="Calibri"/>
          <w:i/>
          <w:iCs/>
          <w:sz w:val="22"/>
          <w:szCs w:val="22"/>
        </w:rPr>
        <w:t xml:space="preserve"> con fecha</w:t>
      </w:r>
      <w:r w:rsidR="00E93477">
        <w:rPr>
          <w:rFonts w:ascii="Calibri" w:hAnsi="Calibri" w:cs="Calibri"/>
          <w:i/>
          <w:iCs/>
          <w:sz w:val="22"/>
          <w:szCs w:val="22"/>
        </w:rPr>
        <w:t>s</w:t>
      </w:r>
      <w:r w:rsidRPr="007D50DF">
        <w:rPr>
          <w:rFonts w:ascii="Calibri" w:hAnsi="Calibri" w:cs="Calibri"/>
          <w:i/>
          <w:iCs/>
          <w:sz w:val="22"/>
          <w:szCs w:val="22"/>
        </w:rPr>
        <w:t xml:space="preserve"> 26 de diciembre de 2025</w:t>
      </w:r>
      <w:r w:rsidR="00E93477">
        <w:rPr>
          <w:rFonts w:ascii="Calibri" w:hAnsi="Calibri" w:cs="Calibri"/>
          <w:i/>
          <w:iCs/>
          <w:sz w:val="22"/>
          <w:szCs w:val="22"/>
        </w:rPr>
        <w:t xml:space="preserve"> y 23 de junio de 202</w:t>
      </w:r>
      <w:r w:rsidR="00963C38">
        <w:rPr>
          <w:rFonts w:ascii="Calibri" w:hAnsi="Calibri" w:cs="Calibri"/>
          <w:i/>
          <w:iCs/>
          <w:sz w:val="22"/>
          <w:szCs w:val="22"/>
        </w:rPr>
        <w:t>6</w:t>
      </w:r>
      <w:r w:rsidRPr="007D50DF">
        <w:rPr>
          <w:rFonts w:ascii="Calibri" w:hAnsi="Calibri" w:cs="Calibri"/>
          <w:i/>
          <w:iCs/>
          <w:sz w:val="22"/>
          <w:szCs w:val="22"/>
        </w:rPr>
        <w:t>.</w:t>
      </w:r>
    </w:p>
    <w:p w14:paraId="7E7A31A7" w14:textId="77777777" w:rsidR="00D55B4B" w:rsidRPr="007D50DF" w:rsidRDefault="00D55B4B" w:rsidP="00D55B4B">
      <w:pPr>
        <w:jc w:val="both"/>
        <w:rPr>
          <w:rFonts w:ascii="Calibri" w:hAnsi="Calibri" w:cs="Calibri"/>
          <w:i/>
          <w:iCs/>
          <w:sz w:val="22"/>
          <w:szCs w:val="22"/>
        </w:rPr>
      </w:pPr>
    </w:p>
    <w:p w14:paraId="30CFDC6A" w14:textId="77777777" w:rsidR="00D55B4B" w:rsidRPr="007D50DF" w:rsidRDefault="00D55B4B" w:rsidP="00D55B4B">
      <w:pPr>
        <w:numPr>
          <w:ilvl w:val="0"/>
          <w:numId w:val="5"/>
        </w:numPr>
        <w:jc w:val="both"/>
        <w:rPr>
          <w:rFonts w:ascii="Calibri" w:hAnsi="Calibri" w:cs="Calibri"/>
          <w:i/>
          <w:iCs/>
          <w:sz w:val="22"/>
          <w:szCs w:val="22"/>
        </w:rPr>
      </w:pPr>
      <w:r w:rsidRPr="007D50DF">
        <w:rPr>
          <w:rFonts w:ascii="Calibri" w:hAnsi="Calibri" w:cs="Calibri"/>
          <w:i/>
          <w:iCs/>
          <w:sz w:val="22"/>
          <w:szCs w:val="22"/>
          <w:u w:val="single"/>
        </w:rPr>
        <w:t>Justificación de contar con una política de habitualidad</w:t>
      </w:r>
    </w:p>
    <w:p w14:paraId="31479504" w14:textId="77777777" w:rsidR="00D55B4B" w:rsidRPr="007D50DF" w:rsidRDefault="00D55B4B" w:rsidP="00D55B4B">
      <w:pPr>
        <w:jc w:val="both"/>
        <w:rPr>
          <w:rFonts w:ascii="Calibri" w:hAnsi="Calibri" w:cs="Calibri"/>
          <w:i/>
          <w:iCs/>
          <w:sz w:val="22"/>
          <w:szCs w:val="22"/>
        </w:rPr>
      </w:pPr>
    </w:p>
    <w:p w14:paraId="222C915F" w14:textId="2D295FDD"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Los principales motivos  que ha considerado el Directorio de T</w:t>
      </w:r>
      <w:r w:rsidR="00D966DB">
        <w:rPr>
          <w:rFonts w:ascii="Calibri" w:hAnsi="Calibri" w:cs="Calibri"/>
          <w:i/>
          <w:iCs/>
          <w:sz w:val="22"/>
          <w:szCs w:val="22"/>
        </w:rPr>
        <w:t>CH</w:t>
      </w:r>
      <w:r w:rsidRPr="007D50DF">
        <w:rPr>
          <w:rFonts w:ascii="Calibri" w:hAnsi="Calibri" w:cs="Calibri"/>
          <w:i/>
          <w:iCs/>
          <w:sz w:val="22"/>
          <w:szCs w:val="22"/>
        </w:rPr>
        <w:t xml:space="preserve"> para contar con una </w:t>
      </w:r>
      <w:r w:rsidRPr="007D50DF">
        <w:rPr>
          <w:rFonts w:ascii="Calibri" w:hAnsi="Calibri" w:cs="Calibri"/>
          <w:i/>
          <w:iCs/>
          <w:kern w:val="2"/>
          <w:sz w:val="22"/>
          <w:szCs w:val="22"/>
          <w14:ligatures w14:val="standardContextual"/>
        </w:rPr>
        <w:t>Política General de Habitualidad</w:t>
      </w:r>
      <w:r w:rsidRPr="007D50DF">
        <w:rPr>
          <w:rFonts w:ascii="Calibri" w:hAnsi="Calibri" w:cs="Calibri"/>
          <w:i/>
          <w:iCs/>
          <w:sz w:val="22"/>
          <w:szCs w:val="22"/>
        </w:rPr>
        <w:t xml:space="preserve"> radican en la necesidad de agilizar la ejecución de decisiones que el Directorio considera que deben ser tomadas por la administración, de manera de que </w:t>
      </w:r>
      <w:r w:rsidR="00D966DB">
        <w:rPr>
          <w:rFonts w:ascii="Calibri" w:hAnsi="Calibri" w:cs="Calibri"/>
          <w:i/>
          <w:iCs/>
          <w:sz w:val="22"/>
          <w:szCs w:val="22"/>
        </w:rPr>
        <w:t>la Sociedad</w:t>
      </w:r>
      <w:r w:rsidRPr="007D50DF">
        <w:rPr>
          <w:rFonts w:ascii="Calibri" w:hAnsi="Calibri" w:cs="Calibri"/>
          <w:i/>
          <w:iCs/>
          <w:sz w:val="22"/>
          <w:szCs w:val="22"/>
        </w:rPr>
        <w:t xml:space="preserve"> sea más eficiente en un mercado altamente competitivo, complejo y sofisticado, así como optimizar el manejo de caja a nivel del grupo empresarial del cual T</w:t>
      </w:r>
      <w:r w:rsidR="00D966DB">
        <w:rPr>
          <w:rFonts w:ascii="Calibri" w:hAnsi="Calibri" w:cs="Calibri"/>
          <w:i/>
          <w:iCs/>
          <w:sz w:val="22"/>
          <w:szCs w:val="22"/>
        </w:rPr>
        <w:t>CH</w:t>
      </w:r>
      <w:r w:rsidRPr="007D50DF">
        <w:rPr>
          <w:rFonts w:ascii="Calibri" w:hAnsi="Calibri" w:cs="Calibri"/>
          <w:i/>
          <w:iCs/>
          <w:sz w:val="22"/>
          <w:szCs w:val="22"/>
        </w:rPr>
        <w:t xml:space="preserve"> forma parte; la necesidad de financiar ciertas operaciones regulares de las entidades relacionadas y la existencia de contratos de los que </w:t>
      </w:r>
      <w:r w:rsidR="00D966DB">
        <w:rPr>
          <w:rFonts w:ascii="Calibri" w:hAnsi="Calibri" w:cs="Calibri"/>
          <w:i/>
          <w:iCs/>
          <w:sz w:val="22"/>
          <w:szCs w:val="22"/>
        </w:rPr>
        <w:t>la Sociedad</w:t>
      </w:r>
      <w:r w:rsidRPr="007D50DF">
        <w:rPr>
          <w:rFonts w:ascii="Calibri" w:hAnsi="Calibri" w:cs="Calibri"/>
          <w:i/>
          <w:iCs/>
          <w:sz w:val="22"/>
          <w:szCs w:val="22"/>
        </w:rPr>
        <w:t xml:space="preserve"> es parte y que afectan a diversas sociedades del grupo empresarial.</w:t>
      </w:r>
    </w:p>
    <w:p w14:paraId="22D1B7F7" w14:textId="77777777" w:rsidR="00D55B4B" w:rsidRPr="007D50DF" w:rsidRDefault="00D55B4B" w:rsidP="00D55B4B">
      <w:pPr>
        <w:jc w:val="both"/>
        <w:rPr>
          <w:rFonts w:ascii="Calibri" w:hAnsi="Calibri" w:cs="Calibri"/>
          <w:i/>
          <w:iCs/>
          <w:sz w:val="22"/>
          <w:szCs w:val="22"/>
        </w:rPr>
      </w:pPr>
    </w:p>
    <w:p w14:paraId="628B3906" w14:textId="77777777" w:rsidR="00D55B4B" w:rsidRPr="007D50DF" w:rsidRDefault="00D55B4B" w:rsidP="00D55B4B">
      <w:pPr>
        <w:numPr>
          <w:ilvl w:val="0"/>
          <w:numId w:val="5"/>
        </w:numPr>
        <w:jc w:val="both"/>
        <w:rPr>
          <w:rFonts w:ascii="Calibri" w:hAnsi="Calibri" w:cs="Calibri"/>
          <w:i/>
          <w:iCs/>
          <w:sz w:val="22"/>
          <w:szCs w:val="22"/>
          <w:u w:val="single"/>
        </w:rPr>
      </w:pPr>
      <w:r w:rsidRPr="007D50DF">
        <w:rPr>
          <w:rFonts w:ascii="Calibri" w:hAnsi="Calibri" w:cs="Calibri"/>
          <w:i/>
          <w:iCs/>
          <w:sz w:val="22"/>
          <w:szCs w:val="22"/>
          <w:u w:val="single"/>
        </w:rPr>
        <w:t>Características y condiciones que deberán cumplir las operaciones para ser realizadas en virtud de la Política</w:t>
      </w:r>
    </w:p>
    <w:p w14:paraId="12178129" w14:textId="77777777" w:rsidR="00D55B4B" w:rsidRPr="007D50DF" w:rsidRDefault="00D55B4B" w:rsidP="00D55B4B">
      <w:pPr>
        <w:jc w:val="both"/>
        <w:rPr>
          <w:rFonts w:ascii="Calibri" w:hAnsi="Calibri" w:cs="Calibri"/>
          <w:i/>
          <w:iCs/>
          <w:sz w:val="22"/>
          <w:szCs w:val="22"/>
        </w:rPr>
      </w:pPr>
    </w:p>
    <w:p w14:paraId="2AC2BD8A" w14:textId="274F6E63"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Se considerarán como operaciones habituales con Personas Relacionadas de T</w:t>
      </w:r>
      <w:r w:rsidR="00D966DB">
        <w:rPr>
          <w:rFonts w:ascii="Calibri" w:hAnsi="Calibri" w:cs="Calibri"/>
          <w:i/>
          <w:iCs/>
          <w:sz w:val="22"/>
          <w:szCs w:val="22"/>
        </w:rPr>
        <w:t>CH</w:t>
      </w:r>
      <w:r w:rsidRPr="007D50DF">
        <w:rPr>
          <w:rFonts w:ascii="Calibri" w:hAnsi="Calibri" w:cs="Calibri"/>
          <w:i/>
          <w:iCs/>
          <w:sz w:val="22"/>
          <w:szCs w:val="22"/>
        </w:rPr>
        <w:t>, las siguientes:</w:t>
      </w:r>
    </w:p>
    <w:p w14:paraId="0BEE2117" w14:textId="77777777" w:rsidR="00D55B4B" w:rsidRPr="007D50DF" w:rsidRDefault="00D55B4B" w:rsidP="00D55B4B">
      <w:pPr>
        <w:jc w:val="both"/>
        <w:rPr>
          <w:rFonts w:ascii="Calibri" w:hAnsi="Calibri" w:cs="Calibri"/>
          <w:i/>
          <w:iCs/>
          <w:sz w:val="22"/>
          <w:szCs w:val="22"/>
        </w:rPr>
      </w:pPr>
    </w:p>
    <w:p w14:paraId="49782D8C" w14:textId="77777777" w:rsidR="00D55B4B" w:rsidRPr="007D50DF" w:rsidRDefault="00D55B4B" w:rsidP="00D55B4B">
      <w:pPr>
        <w:numPr>
          <w:ilvl w:val="0"/>
          <w:numId w:val="4"/>
        </w:numPr>
        <w:jc w:val="both"/>
        <w:rPr>
          <w:rFonts w:ascii="Calibri" w:hAnsi="Calibri" w:cs="Calibri"/>
          <w:i/>
          <w:iCs/>
          <w:sz w:val="22"/>
          <w:szCs w:val="22"/>
        </w:rPr>
      </w:pPr>
      <w:r w:rsidRPr="007D50DF">
        <w:rPr>
          <w:rFonts w:ascii="Calibri" w:hAnsi="Calibri" w:cs="Calibri"/>
          <w:i/>
          <w:iCs/>
          <w:sz w:val="22"/>
          <w:szCs w:val="22"/>
        </w:rPr>
        <w:t>Operaciones que tengan por objeto la prestación de todo tipo de servicios de telecomunicaciones necesarios para el desarrollo de los negocios de la Sociedad, tanto en Chile como en el extranjero. Entre otros, y sin que estos ejemplos signifiquen limitación al concepto general y amplio de servicios de telecomunicaciones, se comprenden los servicios de transmisión, conmutación, plataformas, interconexiones entre operadores de servicios de telecomunicaciones.</w:t>
      </w:r>
    </w:p>
    <w:p w14:paraId="2278248F" w14:textId="77777777" w:rsidR="00D55B4B" w:rsidRPr="007D50DF" w:rsidRDefault="00D55B4B" w:rsidP="00D55B4B">
      <w:pPr>
        <w:jc w:val="both"/>
        <w:rPr>
          <w:rFonts w:ascii="Calibri" w:hAnsi="Calibri" w:cs="Calibri"/>
          <w:i/>
          <w:iCs/>
          <w:sz w:val="22"/>
          <w:szCs w:val="22"/>
        </w:rPr>
      </w:pPr>
    </w:p>
    <w:p w14:paraId="761F4D79" w14:textId="77777777" w:rsidR="00D55B4B" w:rsidRPr="007D50DF" w:rsidRDefault="00D55B4B" w:rsidP="00D55B4B">
      <w:pPr>
        <w:numPr>
          <w:ilvl w:val="0"/>
          <w:numId w:val="4"/>
        </w:numPr>
        <w:jc w:val="both"/>
        <w:rPr>
          <w:rFonts w:ascii="Calibri" w:hAnsi="Calibri" w:cs="Calibri"/>
          <w:i/>
          <w:iCs/>
          <w:sz w:val="22"/>
          <w:szCs w:val="22"/>
        </w:rPr>
      </w:pPr>
      <w:r w:rsidRPr="007D50DF">
        <w:rPr>
          <w:rFonts w:ascii="Calibri" w:hAnsi="Calibri" w:cs="Calibri"/>
          <w:i/>
          <w:iCs/>
          <w:sz w:val="22"/>
          <w:szCs w:val="22"/>
        </w:rPr>
        <w:t>Operaciones que tengan por objeto servicios administrativos y gerenciales, servicios de mantención, asesoría, gestión, contables, de recaudación y facturación, administración financiera y tesorería, contraloría, auditoría interna, legales, de colaboración, de logística y aprovisionamiento, de soporte y mantención de servicios informáticos y de voz y datos, de marketing y publicidad, telemarketing, servicios de operadoras telefónicas para comunicaciones de atención y/o contención de clientes, nacionales e internacionales, necesarios para el desarrollo de los negocios de la Sociedad.</w:t>
      </w:r>
    </w:p>
    <w:p w14:paraId="29EC1EC2" w14:textId="77777777" w:rsidR="00D55B4B" w:rsidRPr="007D50DF" w:rsidRDefault="00D55B4B" w:rsidP="00D55B4B">
      <w:pPr>
        <w:jc w:val="both"/>
        <w:rPr>
          <w:rFonts w:ascii="Calibri" w:hAnsi="Calibri" w:cs="Calibri"/>
          <w:i/>
          <w:iCs/>
          <w:sz w:val="22"/>
          <w:szCs w:val="22"/>
        </w:rPr>
      </w:pPr>
    </w:p>
    <w:p w14:paraId="6264BF6F" w14:textId="77777777" w:rsidR="00D55B4B" w:rsidRPr="007D50DF" w:rsidRDefault="00D55B4B" w:rsidP="00D55B4B">
      <w:pPr>
        <w:numPr>
          <w:ilvl w:val="0"/>
          <w:numId w:val="4"/>
        </w:numPr>
        <w:jc w:val="both"/>
        <w:rPr>
          <w:rFonts w:ascii="Calibri" w:hAnsi="Calibri" w:cs="Calibri"/>
          <w:i/>
          <w:iCs/>
          <w:sz w:val="22"/>
          <w:szCs w:val="22"/>
        </w:rPr>
      </w:pPr>
      <w:r w:rsidRPr="007D50DF">
        <w:rPr>
          <w:rFonts w:ascii="Calibri" w:hAnsi="Calibri" w:cs="Calibri"/>
          <w:i/>
          <w:iCs/>
          <w:sz w:val="22"/>
          <w:szCs w:val="22"/>
        </w:rPr>
        <w:t>Operaciones que tengan por objeto la compra, arrendamiento o uso a cualquier otro título, de cualquier tipo de bienes, muebles e inmuebles, corporales e incorporales, o cualquier suministro nacional e internacional necesario para el desarrollo de los negocios de la Sociedad.</w:t>
      </w:r>
    </w:p>
    <w:p w14:paraId="4E10DFB0" w14:textId="77777777" w:rsidR="00D55B4B" w:rsidRPr="007D50DF" w:rsidRDefault="00D55B4B" w:rsidP="00D55B4B">
      <w:pPr>
        <w:jc w:val="both"/>
        <w:rPr>
          <w:rFonts w:ascii="Calibri" w:hAnsi="Calibri" w:cs="Calibri"/>
          <w:i/>
          <w:iCs/>
          <w:sz w:val="22"/>
          <w:szCs w:val="22"/>
        </w:rPr>
      </w:pPr>
    </w:p>
    <w:p w14:paraId="78623F05" w14:textId="77777777" w:rsidR="00D55B4B" w:rsidRDefault="00D55B4B" w:rsidP="00D55B4B">
      <w:pPr>
        <w:numPr>
          <w:ilvl w:val="0"/>
          <w:numId w:val="4"/>
        </w:numPr>
        <w:jc w:val="both"/>
        <w:rPr>
          <w:rFonts w:ascii="Calibri" w:hAnsi="Calibri" w:cs="Calibri"/>
          <w:i/>
          <w:iCs/>
          <w:sz w:val="22"/>
          <w:szCs w:val="22"/>
        </w:rPr>
      </w:pPr>
      <w:r w:rsidRPr="007D50DF">
        <w:rPr>
          <w:rFonts w:ascii="Calibri" w:hAnsi="Calibri" w:cs="Calibri"/>
          <w:i/>
          <w:iCs/>
          <w:sz w:val="22"/>
          <w:szCs w:val="22"/>
        </w:rPr>
        <w:lastRenderedPageBreak/>
        <w:t>Operaciones financieras referidas a cuenta corriente mercantil y/o préstamos financieros, recuperación o reembolso de gastos.</w:t>
      </w:r>
    </w:p>
    <w:p w14:paraId="3808CB8B" w14:textId="77777777" w:rsidR="00D966DB" w:rsidRDefault="00D966DB" w:rsidP="003E1DAA">
      <w:pPr>
        <w:pStyle w:val="Prrafodelista"/>
        <w:rPr>
          <w:rFonts w:ascii="Calibri" w:hAnsi="Calibri" w:cs="Calibri"/>
          <w:i/>
          <w:iCs/>
          <w:sz w:val="22"/>
          <w:szCs w:val="22"/>
        </w:rPr>
      </w:pPr>
    </w:p>
    <w:p w14:paraId="052D5B00" w14:textId="1AD5B5A3" w:rsidR="00D966DB" w:rsidRPr="007D50DF" w:rsidRDefault="00D771FB" w:rsidP="00D55B4B">
      <w:pPr>
        <w:numPr>
          <w:ilvl w:val="0"/>
          <w:numId w:val="4"/>
        </w:numPr>
        <w:jc w:val="both"/>
        <w:rPr>
          <w:rFonts w:ascii="Calibri" w:hAnsi="Calibri" w:cs="Calibri"/>
          <w:i/>
          <w:iCs/>
          <w:sz w:val="22"/>
          <w:szCs w:val="22"/>
        </w:rPr>
      </w:pPr>
      <w:r>
        <w:rPr>
          <w:rFonts w:ascii="Calibri" w:hAnsi="Calibri" w:cs="Calibri"/>
          <w:i/>
          <w:iCs/>
          <w:sz w:val="22"/>
          <w:szCs w:val="22"/>
        </w:rPr>
        <w:t>O</w:t>
      </w:r>
      <w:r w:rsidR="00E823C6" w:rsidRPr="003E1DAA">
        <w:rPr>
          <w:rFonts w:ascii="Calibri" w:hAnsi="Calibri" w:cs="Calibri"/>
          <w:i/>
          <w:iCs/>
          <w:sz w:val="22"/>
          <w:szCs w:val="22"/>
        </w:rPr>
        <w:t>torgamiento de garant</w:t>
      </w:r>
      <w:r w:rsidR="00E823C6" w:rsidRPr="003E1DAA">
        <w:rPr>
          <w:rFonts w:ascii="Calibri" w:hAnsi="Calibri" w:cs="Calibri" w:hint="eastAsia"/>
          <w:i/>
          <w:iCs/>
          <w:sz w:val="22"/>
          <w:szCs w:val="22"/>
        </w:rPr>
        <w:t>í</w:t>
      </w:r>
      <w:r w:rsidR="00E823C6" w:rsidRPr="003E1DAA">
        <w:rPr>
          <w:rFonts w:ascii="Calibri" w:hAnsi="Calibri" w:cs="Calibri"/>
          <w:i/>
          <w:iCs/>
          <w:sz w:val="22"/>
          <w:szCs w:val="22"/>
        </w:rPr>
        <w:t>as para caucionar obligaciones financieras futuras de sus sociedades relacionadas Telef</w:t>
      </w:r>
      <w:r w:rsidR="00E823C6" w:rsidRPr="003E1DAA">
        <w:rPr>
          <w:rFonts w:ascii="Calibri" w:hAnsi="Calibri" w:cs="Calibri" w:hint="eastAsia"/>
          <w:i/>
          <w:iCs/>
          <w:sz w:val="22"/>
          <w:szCs w:val="22"/>
        </w:rPr>
        <w:t>ó</w:t>
      </w:r>
      <w:r w:rsidR="00E823C6" w:rsidRPr="003E1DAA">
        <w:rPr>
          <w:rFonts w:ascii="Calibri" w:hAnsi="Calibri" w:cs="Calibri"/>
          <w:i/>
          <w:iCs/>
          <w:sz w:val="22"/>
          <w:szCs w:val="22"/>
        </w:rPr>
        <w:t>nica M</w:t>
      </w:r>
      <w:r w:rsidR="00E823C6" w:rsidRPr="003E1DAA">
        <w:rPr>
          <w:rFonts w:ascii="Calibri" w:hAnsi="Calibri" w:cs="Calibri" w:hint="eastAsia"/>
          <w:i/>
          <w:iCs/>
          <w:sz w:val="22"/>
          <w:szCs w:val="22"/>
        </w:rPr>
        <w:t>ó</w:t>
      </w:r>
      <w:r w:rsidR="00E823C6" w:rsidRPr="003E1DAA">
        <w:rPr>
          <w:rFonts w:ascii="Calibri" w:hAnsi="Calibri" w:cs="Calibri"/>
          <w:i/>
          <w:iCs/>
          <w:sz w:val="22"/>
          <w:szCs w:val="22"/>
        </w:rPr>
        <w:t>viles Chile S.A. y/o de Telef</w:t>
      </w:r>
      <w:r w:rsidR="00E823C6" w:rsidRPr="003E1DAA">
        <w:rPr>
          <w:rFonts w:ascii="Calibri" w:hAnsi="Calibri" w:cs="Calibri" w:hint="eastAsia"/>
          <w:i/>
          <w:iCs/>
          <w:sz w:val="22"/>
          <w:szCs w:val="22"/>
        </w:rPr>
        <w:t>ó</w:t>
      </w:r>
      <w:r w:rsidR="00E823C6" w:rsidRPr="003E1DAA">
        <w:rPr>
          <w:rFonts w:ascii="Calibri" w:hAnsi="Calibri" w:cs="Calibri"/>
          <w:i/>
          <w:iCs/>
          <w:sz w:val="22"/>
          <w:szCs w:val="22"/>
        </w:rPr>
        <w:t>nica Chile Servicios Corporativos Limitada, cuando las mismas se contraigan dentro de sus giros ordinarios</w:t>
      </w:r>
      <w:r>
        <w:rPr>
          <w:rFonts w:ascii="Calibri" w:hAnsi="Calibri" w:cs="Calibri"/>
          <w:i/>
          <w:iCs/>
          <w:sz w:val="22"/>
          <w:szCs w:val="22"/>
        </w:rPr>
        <w:t>.</w:t>
      </w:r>
    </w:p>
    <w:p w14:paraId="6C18AC15" w14:textId="77777777" w:rsidR="00D55B4B" w:rsidRPr="007D50DF" w:rsidRDefault="00D55B4B" w:rsidP="00D55B4B">
      <w:pPr>
        <w:jc w:val="both"/>
        <w:rPr>
          <w:rFonts w:ascii="Calibri" w:hAnsi="Calibri" w:cs="Calibri"/>
          <w:i/>
          <w:iCs/>
          <w:sz w:val="22"/>
          <w:szCs w:val="22"/>
        </w:rPr>
      </w:pPr>
    </w:p>
    <w:p w14:paraId="098E98D8" w14:textId="77777777"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Con todo, para que las operaciones descritas precedentemente puedan prescindir del procedimiento reglado de aprobación establecido en el artículo 147 de la Ley de Sociedades Anónimas, deberán cumplir con las siguientes características:</w:t>
      </w:r>
    </w:p>
    <w:p w14:paraId="3E8A49A5" w14:textId="77777777" w:rsidR="00D55B4B" w:rsidRPr="007D50DF" w:rsidRDefault="00D55B4B" w:rsidP="00D55B4B">
      <w:pPr>
        <w:jc w:val="both"/>
        <w:rPr>
          <w:rFonts w:ascii="Calibri" w:hAnsi="Calibri" w:cs="Calibri"/>
          <w:i/>
          <w:iCs/>
          <w:sz w:val="22"/>
          <w:szCs w:val="22"/>
        </w:rPr>
      </w:pPr>
    </w:p>
    <w:p w14:paraId="5A381B1A" w14:textId="5ED83033" w:rsidR="00D55B4B" w:rsidRPr="007D50DF" w:rsidRDefault="00D55B4B" w:rsidP="00D55B4B">
      <w:pPr>
        <w:numPr>
          <w:ilvl w:val="0"/>
          <w:numId w:val="6"/>
        </w:numPr>
        <w:jc w:val="both"/>
        <w:rPr>
          <w:rFonts w:ascii="Calibri" w:hAnsi="Calibri" w:cs="Calibri"/>
          <w:i/>
          <w:iCs/>
          <w:sz w:val="22"/>
          <w:szCs w:val="22"/>
        </w:rPr>
      </w:pPr>
      <w:r w:rsidRPr="007D50DF">
        <w:rPr>
          <w:rFonts w:ascii="Calibri" w:hAnsi="Calibri" w:cs="Calibri"/>
          <w:i/>
          <w:iCs/>
          <w:sz w:val="22"/>
          <w:szCs w:val="22"/>
          <w:u w:val="single"/>
        </w:rPr>
        <w:t>Contrapartes de las operaciones</w:t>
      </w:r>
      <w:r w:rsidRPr="007D50DF">
        <w:rPr>
          <w:rFonts w:ascii="Calibri" w:hAnsi="Calibri" w:cs="Calibri"/>
          <w:i/>
          <w:iCs/>
          <w:sz w:val="22"/>
          <w:szCs w:val="22"/>
        </w:rPr>
        <w:t>: T</w:t>
      </w:r>
      <w:r w:rsidR="00D771FB">
        <w:rPr>
          <w:rFonts w:ascii="Calibri" w:hAnsi="Calibri" w:cs="Calibri"/>
          <w:i/>
          <w:iCs/>
          <w:sz w:val="22"/>
          <w:szCs w:val="22"/>
        </w:rPr>
        <w:t>CH</w:t>
      </w:r>
      <w:r w:rsidRPr="007D50DF">
        <w:rPr>
          <w:rFonts w:ascii="Calibri" w:hAnsi="Calibri" w:cs="Calibri"/>
          <w:i/>
          <w:iCs/>
          <w:sz w:val="22"/>
          <w:szCs w:val="22"/>
        </w:rPr>
        <w:t xml:space="preserve"> podrá realizar </w:t>
      </w:r>
      <w:r w:rsidR="0050733F">
        <w:rPr>
          <w:rFonts w:ascii="Calibri" w:hAnsi="Calibri" w:cs="Calibri"/>
          <w:i/>
          <w:iCs/>
          <w:sz w:val="22"/>
          <w:szCs w:val="22"/>
        </w:rPr>
        <w:t xml:space="preserve">las </w:t>
      </w:r>
      <w:r w:rsidRPr="007D50DF">
        <w:rPr>
          <w:rFonts w:ascii="Calibri" w:hAnsi="Calibri" w:cs="Calibri"/>
          <w:i/>
          <w:iCs/>
          <w:sz w:val="22"/>
          <w:szCs w:val="22"/>
        </w:rPr>
        <w:t>operaciones acogidas a esta Política en la medida que estas se celebren con sus personas relacionadas, tales como, con su matriz, con empresas filiales o coligadas o con cualquier otra entidad que forme parte de su grupo empresarial, según éste se define en el artículo 96 de la Ley N°18.045 sobre Mercado de Valores (las “</w:t>
      </w:r>
      <w:r w:rsidRPr="007D50DF">
        <w:rPr>
          <w:rFonts w:ascii="Calibri" w:hAnsi="Calibri" w:cs="Calibri"/>
          <w:i/>
          <w:iCs/>
          <w:sz w:val="22"/>
          <w:szCs w:val="22"/>
          <w:u w:val="single"/>
        </w:rPr>
        <w:t>Personas Relacionadas</w:t>
      </w:r>
      <w:r w:rsidRPr="007D50DF">
        <w:rPr>
          <w:rFonts w:ascii="Calibri" w:hAnsi="Calibri" w:cs="Calibri"/>
          <w:i/>
          <w:iCs/>
          <w:sz w:val="22"/>
          <w:szCs w:val="22"/>
        </w:rPr>
        <w:t>”).</w:t>
      </w:r>
      <w:r w:rsidR="00F62D16">
        <w:rPr>
          <w:rFonts w:ascii="Calibri" w:hAnsi="Calibri" w:cs="Calibri"/>
          <w:i/>
          <w:iCs/>
          <w:sz w:val="22"/>
          <w:szCs w:val="22"/>
        </w:rPr>
        <w:t xml:space="preserve"> Se deja constancia que las operaciones indicadas en el romanito v. precedente sólo podrán celebrarse con las Sociedades relacionadas ahí indicadas. </w:t>
      </w:r>
      <w:r w:rsidRPr="007D50DF">
        <w:rPr>
          <w:rFonts w:ascii="Calibri" w:hAnsi="Calibri" w:cs="Calibri"/>
          <w:i/>
          <w:iCs/>
          <w:sz w:val="22"/>
          <w:szCs w:val="22"/>
        </w:rPr>
        <w:t xml:space="preserve"> </w:t>
      </w:r>
      <w:r w:rsidR="00706D44">
        <w:rPr>
          <w:rFonts w:ascii="Calibri" w:hAnsi="Calibri" w:cs="Calibri"/>
          <w:i/>
          <w:iCs/>
          <w:sz w:val="22"/>
          <w:szCs w:val="22"/>
        </w:rPr>
        <w:t xml:space="preserve"> </w:t>
      </w:r>
    </w:p>
    <w:p w14:paraId="35749E52" w14:textId="77777777" w:rsidR="00D55B4B" w:rsidRPr="007D50DF" w:rsidRDefault="00D55B4B" w:rsidP="00D55B4B">
      <w:pPr>
        <w:jc w:val="both"/>
        <w:rPr>
          <w:rFonts w:ascii="Calibri" w:hAnsi="Calibri" w:cs="Calibri"/>
          <w:i/>
          <w:iCs/>
          <w:sz w:val="22"/>
          <w:szCs w:val="22"/>
        </w:rPr>
      </w:pPr>
    </w:p>
    <w:p w14:paraId="55EA7C84" w14:textId="77777777" w:rsidR="00D55B4B" w:rsidRPr="007D50DF" w:rsidRDefault="00D55B4B" w:rsidP="00D55B4B">
      <w:pPr>
        <w:numPr>
          <w:ilvl w:val="0"/>
          <w:numId w:val="6"/>
        </w:numPr>
        <w:jc w:val="both"/>
        <w:rPr>
          <w:rFonts w:ascii="Calibri" w:hAnsi="Calibri" w:cs="Calibri"/>
          <w:i/>
          <w:iCs/>
          <w:sz w:val="22"/>
          <w:szCs w:val="22"/>
        </w:rPr>
      </w:pPr>
      <w:r w:rsidRPr="007D50DF">
        <w:rPr>
          <w:rFonts w:ascii="Calibri" w:hAnsi="Calibri" w:cs="Calibri"/>
          <w:i/>
          <w:iCs/>
          <w:sz w:val="22"/>
          <w:szCs w:val="22"/>
          <w:u w:val="single"/>
        </w:rPr>
        <w:t>Sub-tipo de operación</w:t>
      </w:r>
      <w:r w:rsidRPr="007D50DF">
        <w:rPr>
          <w:rFonts w:ascii="Calibri" w:hAnsi="Calibri" w:cs="Calibri"/>
          <w:i/>
          <w:iCs/>
          <w:sz w:val="22"/>
          <w:szCs w:val="22"/>
        </w:rPr>
        <w:t>: Cualquiera de estas operaciones, podrá celebrarse bajo la forma de contratos de prestación de servicio, de asesoría, de compraventa, de arrendamiento, de promesa, de futuro, de opción, de permuta, de transacción, de mandato, de comodato, de depósito, de cesión, de suministro, de transporte, de seguro, de confidencialidad, de usufructo, de cuenta corriente mercantil, de comisión, de mutuo, o sea a través de instrucciones notariales, cartas de ofertas, reconocimientos de deuda, pagarés, o a través del otorgamiento de cualquier otro instrumento por medio del cual se constituya alguna garantía, sea real o personal y, en general, cualquier instrumento público o privado.</w:t>
      </w:r>
    </w:p>
    <w:p w14:paraId="1FB7ADCB" w14:textId="77777777" w:rsidR="00D55B4B" w:rsidRPr="007D50DF" w:rsidRDefault="00D55B4B" w:rsidP="00D55B4B">
      <w:pPr>
        <w:jc w:val="both"/>
        <w:rPr>
          <w:rFonts w:ascii="Calibri" w:hAnsi="Calibri" w:cs="Calibri"/>
          <w:i/>
          <w:iCs/>
          <w:sz w:val="22"/>
          <w:szCs w:val="22"/>
          <w:u w:val="single"/>
        </w:rPr>
      </w:pPr>
    </w:p>
    <w:p w14:paraId="6493166B" w14:textId="77777777" w:rsidR="00D55B4B" w:rsidRPr="007D50DF" w:rsidRDefault="00D55B4B" w:rsidP="00D55B4B">
      <w:pPr>
        <w:numPr>
          <w:ilvl w:val="0"/>
          <w:numId w:val="6"/>
        </w:numPr>
        <w:jc w:val="both"/>
        <w:rPr>
          <w:rFonts w:ascii="Calibri" w:hAnsi="Calibri" w:cs="Calibri"/>
          <w:i/>
          <w:iCs/>
          <w:sz w:val="22"/>
          <w:szCs w:val="22"/>
        </w:rPr>
      </w:pPr>
      <w:r w:rsidRPr="007D50DF">
        <w:rPr>
          <w:rFonts w:ascii="Calibri" w:hAnsi="Calibri" w:cs="Calibri"/>
          <w:i/>
          <w:iCs/>
          <w:sz w:val="22"/>
          <w:szCs w:val="22"/>
          <w:u w:val="single"/>
        </w:rPr>
        <w:t>Monto máximo por operación</w:t>
      </w:r>
      <w:r w:rsidRPr="007D50DF">
        <w:rPr>
          <w:rFonts w:ascii="Calibri" w:hAnsi="Calibri" w:cs="Calibri"/>
          <w:i/>
          <w:iCs/>
          <w:sz w:val="22"/>
          <w:szCs w:val="22"/>
        </w:rPr>
        <w:t xml:space="preserve">: El monto máximo no podrá exceder el 1% del activo de la Sociedad, ni superar el 10% de los ingresos totales, individual o consolidado, del ejercicio inmediatamente anterior al de la fecha de celebración de la respectiva operación. </w:t>
      </w:r>
    </w:p>
    <w:p w14:paraId="79CFE042" w14:textId="77777777" w:rsidR="00D55B4B" w:rsidRPr="007D50DF" w:rsidRDefault="00D55B4B" w:rsidP="00D55B4B">
      <w:pPr>
        <w:jc w:val="both"/>
        <w:rPr>
          <w:rFonts w:ascii="Calibri" w:hAnsi="Calibri" w:cs="Calibri"/>
          <w:i/>
          <w:iCs/>
          <w:sz w:val="22"/>
          <w:szCs w:val="22"/>
          <w:u w:val="single"/>
        </w:rPr>
      </w:pPr>
    </w:p>
    <w:p w14:paraId="36DB3891" w14:textId="77777777" w:rsidR="00D55B4B" w:rsidRPr="007D50DF" w:rsidRDefault="00D55B4B" w:rsidP="00D55B4B">
      <w:pPr>
        <w:numPr>
          <w:ilvl w:val="0"/>
          <w:numId w:val="6"/>
        </w:numPr>
        <w:jc w:val="both"/>
        <w:rPr>
          <w:rFonts w:ascii="Calibri" w:hAnsi="Calibri" w:cs="Calibri"/>
          <w:i/>
          <w:iCs/>
          <w:sz w:val="22"/>
          <w:szCs w:val="22"/>
        </w:rPr>
      </w:pPr>
      <w:r w:rsidRPr="007D50DF">
        <w:rPr>
          <w:rFonts w:ascii="Calibri" w:hAnsi="Calibri" w:cs="Calibri"/>
          <w:i/>
          <w:iCs/>
          <w:sz w:val="22"/>
          <w:szCs w:val="22"/>
          <w:u w:val="single"/>
        </w:rPr>
        <w:t>Carácter de ordinaria de la operación en consideración al giro social</w:t>
      </w:r>
      <w:r w:rsidRPr="007D50DF">
        <w:rPr>
          <w:rFonts w:ascii="Calibri" w:hAnsi="Calibri" w:cs="Calibri"/>
          <w:i/>
          <w:iCs/>
          <w:sz w:val="22"/>
          <w:szCs w:val="22"/>
        </w:rPr>
        <w:t>: Para que una operación pueda ser desarrollada y ejecutada en el marco de esta Política, será necesario que ella:</w:t>
      </w:r>
    </w:p>
    <w:p w14:paraId="1315DE6E" w14:textId="77777777" w:rsidR="00D55B4B" w:rsidRPr="007D50DF" w:rsidRDefault="00D55B4B" w:rsidP="00D55B4B">
      <w:pPr>
        <w:jc w:val="both"/>
        <w:rPr>
          <w:rFonts w:ascii="Calibri" w:hAnsi="Calibri" w:cs="Calibri"/>
          <w:i/>
          <w:iCs/>
          <w:sz w:val="22"/>
          <w:szCs w:val="22"/>
        </w:rPr>
      </w:pPr>
    </w:p>
    <w:p w14:paraId="4902EDF0" w14:textId="77777777" w:rsidR="00D55B4B" w:rsidRPr="007D50DF" w:rsidRDefault="00D55B4B" w:rsidP="00D55B4B">
      <w:pPr>
        <w:numPr>
          <w:ilvl w:val="1"/>
          <w:numId w:val="7"/>
        </w:numPr>
        <w:jc w:val="both"/>
        <w:rPr>
          <w:rFonts w:ascii="Calibri" w:hAnsi="Calibri" w:cs="Calibri"/>
          <w:i/>
          <w:iCs/>
          <w:sz w:val="22"/>
          <w:szCs w:val="22"/>
        </w:rPr>
      </w:pPr>
      <w:r w:rsidRPr="007D50DF">
        <w:rPr>
          <w:rFonts w:ascii="Calibri" w:hAnsi="Calibri" w:cs="Calibri"/>
          <w:i/>
          <w:iCs/>
          <w:sz w:val="22"/>
          <w:szCs w:val="22"/>
        </w:rPr>
        <w:t xml:space="preserve">Sea ejecutada en condiciones de mercado y similares a aquellas otras operaciones del mismo tipo celebradas por la Sociedad con anterioridad, en consideración a las condiciones de mercado imperantes al momento de la celebración. En cuanto a las condiciones de mercado, en caso de que no haya comparación con el mercado local se podrá utilizar el mercado internacional. </w:t>
      </w:r>
    </w:p>
    <w:p w14:paraId="106EF113" w14:textId="77777777" w:rsidR="00D55B4B" w:rsidRPr="007D50DF" w:rsidRDefault="00D55B4B" w:rsidP="00D55B4B">
      <w:pPr>
        <w:jc w:val="both"/>
        <w:rPr>
          <w:rFonts w:ascii="Calibri" w:hAnsi="Calibri" w:cs="Calibri"/>
          <w:i/>
          <w:iCs/>
          <w:sz w:val="22"/>
          <w:szCs w:val="22"/>
        </w:rPr>
      </w:pPr>
    </w:p>
    <w:p w14:paraId="0B231410" w14:textId="09330035" w:rsidR="00D55B4B" w:rsidRPr="007D50DF" w:rsidRDefault="00D55B4B" w:rsidP="00D55B4B">
      <w:pPr>
        <w:numPr>
          <w:ilvl w:val="1"/>
          <w:numId w:val="7"/>
        </w:numPr>
        <w:jc w:val="both"/>
        <w:rPr>
          <w:rFonts w:ascii="Calibri" w:hAnsi="Calibri" w:cs="Calibri"/>
          <w:i/>
          <w:iCs/>
          <w:sz w:val="22"/>
          <w:szCs w:val="22"/>
        </w:rPr>
      </w:pPr>
      <w:r w:rsidRPr="007D50DF">
        <w:rPr>
          <w:rFonts w:ascii="Calibri" w:hAnsi="Calibri" w:cs="Calibri"/>
          <w:i/>
          <w:iCs/>
          <w:sz w:val="22"/>
          <w:szCs w:val="22"/>
        </w:rPr>
        <w:t>Sea ejecutada recurrentemente por T</w:t>
      </w:r>
      <w:r w:rsidR="0050733F">
        <w:rPr>
          <w:rFonts w:ascii="Calibri" w:hAnsi="Calibri" w:cs="Calibri"/>
          <w:i/>
          <w:iCs/>
          <w:sz w:val="22"/>
          <w:szCs w:val="22"/>
        </w:rPr>
        <w:t>CH</w:t>
      </w:r>
      <w:r w:rsidRPr="007D50DF">
        <w:rPr>
          <w:rFonts w:ascii="Calibri" w:hAnsi="Calibri" w:cs="Calibri"/>
          <w:i/>
          <w:iCs/>
          <w:sz w:val="22"/>
          <w:szCs w:val="22"/>
        </w:rPr>
        <w:t>, esto es, al menos una vez cada 18 meses en los últimos 3 años o que se ejecute en el marco de un contrato de tracto sucesivo, ejecución diferida o de renovación automática.</w:t>
      </w:r>
    </w:p>
    <w:p w14:paraId="5BC55917" w14:textId="77777777" w:rsidR="00D55B4B" w:rsidRPr="007D50DF" w:rsidRDefault="00D55B4B" w:rsidP="00D55B4B">
      <w:pPr>
        <w:jc w:val="both"/>
        <w:rPr>
          <w:rFonts w:ascii="Calibri" w:hAnsi="Calibri" w:cs="Calibri"/>
          <w:i/>
          <w:iCs/>
          <w:sz w:val="22"/>
          <w:szCs w:val="22"/>
        </w:rPr>
      </w:pPr>
    </w:p>
    <w:p w14:paraId="3CF7B8CC" w14:textId="63CBD76E" w:rsidR="00D55B4B" w:rsidRPr="007D50DF" w:rsidRDefault="00D55B4B" w:rsidP="00D55B4B">
      <w:pPr>
        <w:numPr>
          <w:ilvl w:val="1"/>
          <w:numId w:val="7"/>
        </w:numPr>
        <w:jc w:val="both"/>
        <w:rPr>
          <w:rFonts w:ascii="Calibri" w:hAnsi="Calibri" w:cs="Calibri"/>
          <w:i/>
          <w:iCs/>
          <w:sz w:val="22"/>
          <w:szCs w:val="22"/>
        </w:rPr>
      </w:pPr>
      <w:r w:rsidRPr="007D50DF">
        <w:rPr>
          <w:rFonts w:ascii="Calibri" w:hAnsi="Calibri" w:cs="Calibri"/>
          <w:i/>
          <w:iCs/>
          <w:sz w:val="22"/>
          <w:szCs w:val="22"/>
        </w:rPr>
        <w:t xml:space="preserve">No tenga un efecto relevante en la situación económica, financiera o jurídica de la Sociedad. Por su naturaleza, las siguientes operaciones se reputarán que tienen un efecto relevante en la Sociedad: (i) las operaciones que se realizan en el marco de </w:t>
      </w:r>
      <w:r w:rsidRPr="007D50DF">
        <w:rPr>
          <w:rFonts w:ascii="Calibri" w:hAnsi="Calibri" w:cs="Calibri"/>
          <w:i/>
          <w:iCs/>
          <w:sz w:val="22"/>
          <w:szCs w:val="22"/>
        </w:rPr>
        <w:lastRenderedPageBreak/>
        <w:t>una liquidación de activos que comprometa la solvencia de T</w:t>
      </w:r>
      <w:r w:rsidR="0050733F">
        <w:rPr>
          <w:rFonts w:ascii="Calibri" w:hAnsi="Calibri" w:cs="Calibri"/>
          <w:i/>
          <w:iCs/>
          <w:sz w:val="22"/>
          <w:szCs w:val="22"/>
        </w:rPr>
        <w:t>CH</w:t>
      </w:r>
      <w:r w:rsidRPr="007D50DF">
        <w:rPr>
          <w:rFonts w:ascii="Calibri" w:hAnsi="Calibri" w:cs="Calibri"/>
          <w:i/>
          <w:iCs/>
          <w:sz w:val="22"/>
          <w:szCs w:val="22"/>
        </w:rPr>
        <w:t xml:space="preserve"> o en el marco de una fusión de sociedades; y (ii) las operaciones en que pueda comprometerse el equivalente a más del 30% de los ingresos o egresos totales del ejercicio anual anterior de T</w:t>
      </w:r>
      <w:r w:rsidR="0050733F">
        <w:rPr>
          <w:rFonts w:ascii="Calibri" w:hAnsi="Calibri" w:cs="Calibri"/>
          <w:i/>
          <w:iCs/>
          <w:sz w:val="22"/>
          <w:szCs w:val="22"/>
        </w:rPr>
        <w:t>CH</w:t>
      </w:r>
      <w:r w:rsidRPr="007D50DF">
        <w:rPr>
          <w:rFonts w:ascii="Calibri" w:hAnsi="Calibri" w:cs="Calibri"/>
          <w:i/>
          <w:iCs/>
          <w:sz w:val="22"/>
          <w:szCs w:val="22"/>
        </w:rPr>
        <w:t>.</w:t>
      </w:r>
    </w:p>
    <w:p w14:paraId="0679441A" w14:textId="77777777" w:rsidR="00D55B4B" w:rsidRPr="007D50DF" w:rsidRDefault="00D55B4B" w:rsidP="00D55B4B">
      <w:pPr>
        <w:jc w:val="both"/>
        <w:rPr>
          <w:rFonts w:ascii="Calibri" w:hAnsi="Calibri" w:cs="Calibri"/>
          <w:i/>
          <w:iCs/>
          <w:sz w:val="22"/>
          <w:szCs w:val="22"/>
        </w:rPr>
      </w:pPr>
    </w:p>
    <w:p w14:paraId="753652B0" w14:textId="77777777"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Fuera de las restricciones anteriormente señaladas, no existirán limitaciones adicionales para que una operación sea catalogada como habitual y, por lo tanto, pueda ejecutarse en el marco de esta Política.</w:t>
      </w:r>
    </w:p>
    <w:p w14:paraId="400F2173" w14:textId="77777777" w:rsidR="00D55B4B" w:rsidRPr="007D50DF" w:rsidRDefault="00D55B4B" w:rsidP="00D55B4B">
      <w:pPr>
        <w:jc w:val="both"/>
        <w:rPr>
          <w:rFonts w:ascii="Calibri" w:hAnsi="Calibri" w:cs="Calibri"/>
          <w:i/>
          <w:iCs/>
          <w:sz w:val="22"/>
          <w:szCs w:val="22"/>
        </w:rPr>
      </w:pPr>
    </w:p>
    <w:p w14:paraId="1F8307D4" w14:textId="77777777" w:rsidR="00D55B4B" w:rsidRPr="007D50DF" w:rsidRDefault="00D55B4B" w:rsidP="00D55B4B">
      <w:pPr>
        <w:numPr>
          <w:ilvl w:val="0"/>
          <w:numId w:val="5"/>
        </w:numPr>
        <w:jc w:val="both"/>
        <w:rPr>
          <w:rFonts w:ascii="Calibri" w:hAnsi="Calibri" w:cs="Calibri"/>
          <w:i/>
          <w:iCs/>
          <w:sz w:val="22"/>
          <w:szCs w:val="22"/>
        </w:rPr>
      </w:pPr>
      <w:r w:rsidRPr="007D50DF">
        <w:rPr>
          <w:rFonts w:ascii="Calibri" w:hAnsi="Calibri" w:cs="Calibri"/>
          <w:i/>
          <w:iCs/>
          <w:sz w:val="22"/>
          <w:szCs w:val="22"/>
          <w:u w:val="single"/>
        </w:rPr>
        <w:t>Mecanismos de Control y Encargado de Cumplimiento</w:t>
      </w:r>
    </w:p>
    <w:p w14:paraId="00D01BB3" w14:textId="77777777" w:rsidR="00D55B4B" w:rsidRPr="007D50DF" w:rsidRDefault="00D55B4B" w:rsidP="00D55B4B">
      <w:pPr>
        <w:jc w:val="both"/>
        <w:rPr>
          <w:rFonts w:ascii="Calibri" w:hAnsi="Calibri" w:cs="Calibri"/>
          <w:i/>
          <w:iCs/>
          <w:sz w:val="22"/>
          <w:szCs w:val="22"/>
        </w:rPr>
      </w:pPr>
    </w:p>
    <w:p w14:paraId="4AC340AC" w14:textId="77777777"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 xml:space="preserve">Se dispondrá de un sistema de revisión ex ante a fin de identificar si las operaciones, actos, contratos y pagos que se pretendan llevar a cabo, tienen de contraparte, una o más Personas Relacionadas. </w:t>
      </w:r>
    </w:p>
    <w:p w14:paraId="3F94EB7D" w14:textId="77777777" w:rsidR="00D55B4B" w:rsidRPr="007D50DF" w:rsidRDefault="00D55B4B" w:rsidP="00D55B4B">
      <w:pPr>
        <w:jc w:val="both"/>
        <w:rPr>
          <w:rFonts w:ascii="Calibri" w:hAnsi="Calibri" w:cs="Calibri"/>
          <w:i/>
          <w:iCs/>
          <w:sz w:val="22"/>
          <w:szCs w:val="22"/>
        </w:rPr>
      </w:pPr>
    </w:p>
    <w:p w14:paraId="4F1AFA05" w14:textId="77777777"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 xml:space="preserve">En caso de que así sea, previo al perfeccionamiento de la operación, se deberá verificar si ésta cumple o no con los siguientes requisitos para ser considerada como habitual: </w:t>
      </w:r>
    </w:p>
    <w:p w14:paraId="58F662F6" w14:textId="77777777" w:rsidR="00D55B4B" w:rsidRPr="007D50DF" w:rsidRDefault="00D55B4B" w:rsidP="00D55B4B">
      <w:pPr>
        <w:jc w:val="both"/>
        <w:rPr>
          <w:rFonts w:ascii="Calibri" w:hAnsi="Calibri" w:cs="Calibri"/>
          <w:i/>
          <w:iCs/>
          <w:sz w:val="22"/>
          <w:szCs w:val="22"/>
        </w:rPr>
      </w:pPr>
    </w:p>
    <w:p w14:paraId="7F3F6CB4" w14:textId="77777777" w:rsidR="00D55B4B" w:rsidRPr="007D50DF" w:rsidRDefault="00D55B4B" w:rsidP="00D55B4B">
      <w:pPr>
        <w:pStyle w:val="Prrafodelista"/>
        <w:numPr>
          <w:ilvl w:val="2"/>
          <w:numId w:val="7"/>
        </w:numPr>
        <w:jc w:val="both"/>
        <w:rPr>
          <w:rFonts w:ascii="Calibri" w:hAnsi="Calibri" w:cs="Calibri"/>
          <w:i/>
          <w:iCs/>
          <w:sz w:val="22"/>
          <w:szCs w:val="22"/>
        </w:rPr>
      </w:pPr>
      <w:r w:rsidRPr="007D50DF">
        <w:rPr>
          <w:rFonts w:ascii="Calibri" w:hAnsi="Calibri" w:cs="Calibri"/>
          <w:i/>
          <w:iCs/>
          <w:sz w:val="22"/>
          <w:szCs w:val="22"/>
        </w:rPr>
        <w:t xml:space="preserve">Contribuye al interés de la Sociedad; </w:t>
      </w:r>
    </w:p>
    <w:p w14:paraId="3F3A2077" w14:textId="77777777" w:rsidR="00D55B4B" w:rsidRPr="007D50DF" w:rsidRDefault="00D55B4B" w:rsidP="00D55B4B">
      <w:pPr>
        <w:pStyle w:val="Prrafodelista"/>
        <w:ind w:left="2160"/>
        <w:jc w:val="both"/>
        <w:rPr>
          <w:rFonts w:ascii="Calibri" w:hAnsi="Calibri" w:cs="Calibri"/>
          <w:i/>
          <w:iCs/>
          <w:sz w:val="22"/>
          <w:szCs w:val="22"/>
        </w:rPr>
      </w:pPr>
    </w:p>
    <w:p w14:paraId="33FC3E70" w14:textId="77777777" w:rsidR="00D55B4B" w:rsidRPr="007D50DF" w:rsidRDefault="00D55B4B" w:rsidP="00D55B4B">
      <w:pPr>
        <w:pStyle w:val="Prrafodelista"/>
        <w:numPr>
          <w:ilvl w:val="2"/>
          <w:numId w:val="7"/>
        </w:numPr>
        <w:jc w:val="both"/>
        <w:rPr>
          <w:rFonts w:ascii="Calibri" w:hAnsi="Calibri" w:cs="Calibri"/>
          <w:i/>
          <w:iCs/>
          <w:sz w:val="22"/>
          <w:szCs w:val="22"/>
        </w:rPr>
      </w:pPr>
      <w:r w:rsidRPr="007D50DF">
        <w:rPr>
          <w:rFonts w:ascii="Calibri" w:hAnsi="Calibri" w:cs="Calibri"/>
          <w:i/>
          <w:iCs/>
          <w:sz w:val="22"/>
          <w:szCs w:val="22"/>
        </w:rPr>
        <w:t xml:space="preserve">Se ajusta en precio, términos y condiciones a aquellas operaciones que prevalezcan en el mercado al tiempo de su aprobación; </w:t>
      </w:r>
    </w:p>
    <w:p w14:paraId="6EF413EB" w14:textId="77777777" w:rsidR="00D55B4B" w:rsidRPr="007D50DF" w:rsidRDefault="00D55B4B" w:rsidP="00D55B4B">
      <w:pPr>
        <w:jc w:val="both"/>
        <w:rPr>
          <w:rFonts w:ascii="Calibri" w:hAnsi="Calibri" w:cs="Calibri"/>
          <w:i/>
          <w:iCs/>
          <w:sz w:val="22"/>
          <w:szCs w:val="22"/>
        </w:rPr>
      </w:pPr>
    </w:p>
    <w:p w14:paraId="24AD1848" w14:textId="77777777" w:rsidR="00D55B4B" w:rsidRPr="007D50DF" w:rsidRDefault="00D55B4B" w:rsidP="00D55B4B">
      <w:pPr>
        <w:pStyle w:val="Prrafodelista"/>
        <w:numPr>
          <w:ilvl w:val="2"/>
          <w:numId w:val="7"/>
        </w:numPr>
        <w:jc w:val="both"/>
        <w:rPr>
          <w:rFonts w:ascii="Calibri" w:hAnsi="Calibri" w:cs="Calibri"/>
          <w:i/>
          <w:iCs/>
          <w:sz w:val="22"/>
          <w:szCs w:val="22"/>
        </w:rPr>
      </w:pPr>
      <w:r w:rsidRPr="007D50DF">
        <w:rPr>
          <w:rFonts w:ascii="Calibri" w:hAnsi="Calibri" w:cs="Calibri"/>
          <w:i/>
          <w:iCs/>
          <w:sz w:val="22"/>
          <w:szCs w:val="22"/>
        </w:rPr>
        <w:t>Es ordinaria en consideración al giro social; y</w:t>
      </w:r>
    </w:p>
    <w:p w14:paraId="1F894A04" w14:textId="77777777" w:rsidR="00D55B4B" w:rsidRPr="007D50DF" w:rsidRDefault="00D55B4B" w:rsidP="00D55B4B">
      <w:pPr>
        <w:jc w:val="both"/>
        <w:rPr>
          <w:rFonts w:ascii="Calibri" w:hAnsi="Calibri" w:cs="Calibri"/>
          <w:i/>
          <w:iCs/>
          <w:sz w:val="22"/>
          <w:szCs w:val="22"/>
        </w:rPr>
      </w:pPr>
    </w:p>
    <w:p w14:paraId="70E93658" w14:textId="77777777" w:rsidR="00D55B4B" w:rsidRPr="007D50DF" w:rsidRDefault="00D55B4B" w:rsidP="00D55B4B">
      <w:pPr>
        <w:pStyle w:val="Prrafodelista"/>
        <w:numPr>
          <w:ilvl w:val="2"/>
          <w:numId w:val="7"/>
        </w:numPr>
        <w:jc w:val="both"/>
        <w:rPr>
          <w:rFonts w:ascii="Calibri" w:hAnsi="Calibri" w:cs="Calibri"/>
          <w:i/>
          <w:iCs/>
          <w:sz w:val="22"/>
          <w:szCs w:val="22"/>
        </w:rPr>
      </w:pPr>
      <w:r w:rsidRPr="007D50DF">
        <w:rPr>
          <w:rFonts w:ascii="Calibri" w:hAnsi="Calibri" w:cs="Calibri"/>
          <w:i/>
          <w:iCs/>
          <w:sz w:val="22"/>
          <w:szCs w:val="22"/>
        </w:rPr>
        <w:t xml:space="preserve">Es inferior a los montos máximos estipulados en la sección 3(iii). </w:t>
      </w:r>
    </w:p>
    <w:p w14:paraId="3DD6C554" w14:textId="77777777" w:rsidR="00D55B4B" w:rsidRPr="007D50DF" w:rsidRDefault="00D55B4B" w:rsidP="00D55B4B">
      <w:pPr>
        <w:jc w:val="both"/>
        <w:rPr>
          <w:rFonts w:ascii="Calibri" w:hAnsi="Calibri" w:cs="Calibri"/>
          <w:i/>
          <w:iCs/>
          <w:sz w:val="22"/>
          <w:szCs w:val="22"/>
        </w:rPr>
      </w:pPr>
    </w:p>
    <w:p w14:paraId="735D0EFD" w14:textId="77777777"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 xml:space="preserve">Para dar cumplimiento a la verificación de los requisitos recién señalados y determinar si una operación en particular se acoge a o no a esta Política, se deberá seguir el procedimiento descrito en el documento denominado </w:t>
      </w:r>
      <w:r w:rsidRPr="007D50DF">
        <w:rPr>
          <w:rFonts w:ascii="Calibri" w:hAnsi="Calibri" w:cs="Calibri"/>
          <w:b/>
          <w:bCs/>
          <w:i/>
          <w:iCs/>
          <w:sz w:val="22"/>
          <w:szCs w:val="22"/>
        </w:rPr>
        <w:t xml:space="preserve">“Manual de Procedimiento de Control de la </w:t>
      </w:r>
      <w:r w:rsidRPr="007D50DF">
        <w:rPr>
          <w:rFonts w:ascii="Calibri" w:hAnsi="Calibri" w:cs="Calibri"/>
          <w:b/>
          <w:bCs/>
          <w:i/>
          <w:iCs/>
          <w:kern w:val="2"/>
          <w:sz w:val="22"/>
          <w:szCs w:val="22"/>
          <w14:ligatures w14:val="standardContextual"/>
        </w:rPr>
        <w:t>Política General de Habitualidad</w:t>
      </w:r>
      <w:r w:rsidRPr="007D50DF">
        <w:rPr>
          <w:rFonts w:ascii="Calibri" w:hAnsi="Calibri" w:cs="Calibri"/>
          <w:b/>
          <w:bCs/>
          <w:i/>
          <w:iCs/>
          <w:sz w:val="22"/>
          <w:szCs w:val="22"/>
        </w:rPr>
        <w:t>”,</w:t>
      </w:r>
      <w:r w:rsidRPr="007D50DF">
        <w:rPr>
          <w:rFonts w:ascii="Calibri" w:hAnsi="Calibri" w:cs="Calibri"/>
          <w:i/>
          <w:iCs/>
          <w:sz w:val="22"/>
          <w:szCs w:val="22"/>
        </w:rPr>
        <w:t xml:space="preserve"> que se incorpora como Anexo a la Política y se entiende formar parte de </w:t>
      </w:r>
      <w:proofErr w:type="gramStart"/>
      <w:r w:rsidRPr="007D50DF">
        <w:rPr>
          <w:rFonts w:ascii="Calibri" w:hAnsi="Calibri" w:cs="Calibri"/>
          <w:i/>
          <w:iCs/>
          <w:sz w:val="22"/>
          <w:szCs w:val="22"/>
        </w:rPr>
        <w:t>la misma</w:t>
      </w:r>
      <w:proofErr w:type="gramEnd"/>
      <w:r w:rsidRPr="007D50DF">
        <w:rPr>
          <w:rFonts w:ascii="Calibri" w:hAnsi="Calibri" w:cs="Calibri"/>
          <w:i/>
          <w:iCs/>
          <w:sz w:val="22"/>
          <w:szCs w:val="22"/>
        </w:rPr>
        <w:t>.</w:t>
      </w:r>
    </w:p>
    <w:p w14:paraId="5414FA31" w14:textId="77777777" w:rsidR="00D55B4B" w:rsidRPr="007D50DF" w:rsidRDefault="00D55B4B" w:rsidP="00D55B4B">
      <w:pPr>
        <w:jc w:val="both"/>
        <w:rPr>
          <w:rFonts w:ascii="Calibri" w:hAnsi="Calibri" w:cs="Calibri"/>
          <w:i/>
          <w:iCs/>
          <w:sz w:val="22"/>
          <w:szCs w:val="22"/>
        </w:rPr>
      </w:pPr>
    </w:p>
    <w:p w14:paraId="43CF146D" w14:textId="77777777"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 xml:space="preserve">De acuerdo con dicho Manual, el Comité de Aseguramiento tendrá bajo su responsabilidad la verificación del cumplimiento de esta Política, y deberá velar en forma continua y oportuna por el cumplimiento de los mecanismos de control establecidos en el mismo, debiendo rendir cuenta de su gestión ante el Directorio. </w:t>
      </w:r>
    </w:p>
    <w:p w14:paraId="7A4F5F47" w14:textId="77777777" w:rsidR="00D55B4B" w:rsidRPr="007D50DF" w:rsidRDefault="00D55B4B" w:rsidP="00D55B4B">
      <w:pPr>
        <w:jc w:val="both"/>
        <w:rPr>
          <w:rFonts w:ascii="Calibri" w:hAnsi="Calibri" w:cs="Calibri"/>
          <w:i/>
          <w:iCs/>
          <w:sz w:val="22"/>
          <w:szCs w:val="22"/>
        </w:rPr>
      </w:pPr>
    </w:p>
    <w:p w14:paraId="52072426" w14:textId="77777777" w:rsidR="00D55B4B" w:rsidRPr="007D50DF" w:rsidRDefault="00D55B4B" w:rsidP="00D55B4B">
      <w:pPr>
        <w:numPr>
          <w:ilvl w:val="0"/>
          <w:numId w:val="5"/>
        </w:numPr>
        <w:jc w:val="both"/>
        <w:rPr>
          <w:rFonts w:ascii="Calibri" w:hAnsi="Calibri" w:cs="Calibri"/>
          <w:i/>
          <w:iCs/>
          <w:sz w:val="22"/>
          <w:szCs w:val="22"/>
        </w:rPr>
      </w:pPr>
      <w:r w:rsidRPr="007D50DF">
        <w:rPr>
          <w:rFonts w:ascii="Calibri" w:hAnsi="Calibri" w:cs="Calibri"/>
          <w:i/>
          <w:iCs/>
          <w:sz w:val="22"/>
          <w:szCs w:val="22"/>
          <w:u w:val="single"/>
        </w:rPr>
        <w:t>Mecanismos de divulgación</w:t>
      </w:r>
    </w:p>
    <w:p w14:paraId="77029B4B" w14:textId="77777777" w:rsidR="00D55B4B" w:rsidRPr="007D50DF" w:rsidRDefault="00D55B4B" w:rsidP="00D55B4B">
      <w:pPr>
        <w:jc w:val="both"/>
        <w:rPr>
          <w:rFonts w:ascii="Calibri" w:hAnsi="Calibri" w:cs="Calibri"/>
          <w:i/>
          <w:iCs/>
          <w:sz w:val="22"/>
          <w:szCs w:val="22"/>
        </w:rPr>
      </w:pPr>
    </w:p>
    <w:p w14:paraId="3A0C961D" w14:textId="46CD7205" w:rsidR="00D55B4B" w:rsidRPr="007D50DF" w:rsidRDefault="00D55B4B" w:rsidP="00D55B4B">
      <w:pPr>
        <w:jc w:val="both"/>
        <w:rPr>
          <w:rFonts w:ascii="Calibri" w:hAnsi="Calibri" w:cs="Calibri"/>
          <w:i/>
          <w:iCs/>
          <w:sz w:val="22"/>
          <w:szCs w:val="22"/>
        </w:rPr>
      </w:pPr>
      <w:r w:rsidRPr="007D50DF">
        <w:rPr>
          <w:rFonts w:ascii="Calibri" w:hAnsi="Calibri" w:cs="Calibri"/>
          <w:i/>
          <w:iCs/>
          <w:sz w:val="22"/>
          <w:szCs w:val="22"/>
        </w:rPr>
        <w:t xml:space="preserve">La presente Política se mantendrá en forma permanente a disposición de los accionistas de </w:t>
      </w:r>
      <w:r w:rsidR="00EF030B">
        <w:rPr>
          <w:rFonts w:ascii="Calibri" w:hAnsi="Calibri" w:cs="Calibri"/>
          <w:i/>
          <w:iCs/>
          <w:sz w:val="22"/>
          <w:szCs w:val="22"/>
        </w:rPr>
        <w:t>la Sociedad</w:t>
      </w:r>
      <w:r w:rsidRPr="007D50DF">
        <w:rPr>
          <w:rFonts w:ascii="Calibri" w:hAnsi="Calibri" w:cs="Calibri"/>
          <w:i/>
          <w:iCs/>
          <w:sz w:val="22"/>
          <w:szCs w:val="22"/>
        </w:rPr>
        <w:t>, sus colaboradores, proveedores, clientes y de cualquier otro tercero en cada una de las oficinas y sucursales de la Sociedad dentro del territorio nacional. A su vez, se mantendrá en forma continua a disposición del público en general en el sitio web de T</w:t>
      </w:r>
      <w:r w:rsidR="00EF030B">
        <w:rPr>
          <w:rFonts w:ascii="Calibri" w:hAnsi="Calibri" w:cs="Calibri"/>
          <w:i/>
          <w:iCs/>
          <w:sz w:val="22"/>
          <w:szCs w:val="22"/>
        </w:rPr>
        <w:t>CH</w:t>
      </w:r>
      <w:r w:rsidRPr="007D50DF">
        <w:rPr>
          <w:rFonts w:ascii="Calibri" w:hAnsi="Calibri" w:cs="Calibri"/>
          <w:i/>
          <w:iCs/>
          <w:sz w:val="22"/>
          <w:szCs w:val="22"/>
        </w:rPr>
        <w:t xml:space="preserve"> </w:t>
      </w:r>
      <w:hyperlink r:id="rId5" w:history="1">
        <w:r w:rsidRPr="007D50DF">
          <w:rPr>
            <w:rStyle w:val="Hipervnculo"/>
            <w:rFonts w:ascii="Calibri" w:hAnsi="Calibri" w:cs="Calibri"/>
            <w:i/>
            <w:iCs/>
            <w:sz w:val="22"/>
            <w:szCs w:val="22"/>
          </w:rPr>
          <w:t>https://telefonica.cl/</w:t>
        </w:r>
      </w:hyperlink>
      <w:r w:rsidR="00876F79">
        <w:rPr>
          <w:rFonts w:ascii="Calibri" w:hAnsi="Calibri" w:cs="Calibri"/>
          <w:i/>
          <w:iCs/>
          <w:sz w:val="22"/>
          <w:szCs w:val="22"/>
        </w:rPr>
        <w:t xml:space="preserve"> o en el que se disponga en el futuro y que esté informado en</w:t>
      </w:r>
      <w:r w:rsidR="0060560D">
        <w:rPr>
          <w:rFonts w:ascii="Calibri" w:hAnsi="Calibri" w:cs="Calibri"/>
          <w:i/>
          <w:iCs/>
          <w:sz w:val="22"/>
          <w:szCs w:val="22"/>
        </w:rPr>
        <w:t xml:space="preserve"> la sección “Identificación” de Telefónica Chile S.A. en</w:t>
      </w:r>
      <w:r w:rsidR="00876F79">
        <w:rPr>
          <w:rFonts w:ascii="Calibri" w:hAnsi="Calibri" w:cs="Calibri"/>
          <w:i/>
          <w:iCs/>
          <w:sz w:val="22"/>
          <w:szCs w:val="22"/>
        </w:rPr>
        <w:t xml:space="preserve"> el sitio web de la Comisión para el Mercado Financiero</w:t>
      </w:r>
      <w:r w:rsidRPr="007D50DF">
        <w:rPr>
          <w:rFonts w:ascii="Calibri" w:hAnsi="Calibri" w:cs="Calibri"/>
          <w:i/>
          <w:iCs/>
          <w:sz w:val="22"/>
          <w:szCs w:val="22"/>
        </w:rPr>
        <w:t>.</w:t>
      </w:r>
    </w:p>
    <w:p w14:paraId="0FE7B8C5" w14:textId="77777777" w:rsidR="00D55B4B" w:rsidRPr="007D50DF" w:rsidRDefault="00D55B4B" w:rsidP="00D55B4B">
      <w:pPr>
        <w:jc w:val="both"/>
        <w:rPr>
          <w:rFonts w:ascii="Calibri" w:hAnsi="Calibri" w:cs="Calibri"/>
          <w:i/>
          <w:iCs/>
          <w:sz w:val="22"/>
          <w:szCs w:val="22"/>
        </w:rPr>
      </w:pPr>
    </w:p>
    <w:p w14:paraId="47A81610" w14:textId="77777777" w:rsidR="00D55B4B" w:rsidRPr="007D50DF" w:rsidRDefault="00D55B4B" w:rsidP="00D55B4B">
      <w:pPr>
        <w:numPr>
          <w:ilvl w:val="0"/>
          <w:numId w:val="5"/>
        </w:numPr>
        <w:jc w:val="both"/>
        <w:rPr>
          <w:rFonts w:ascii="Calibri" w:hAnsi="Calibri" w:cs="Calibri"/>
          <w:i/>
          <w:iCs/>
          <w:sz w:val="22"/>
          <w:szCs w:val="22"/>
        </w:rPr>
      </w:pPr>
      <w:r w:rsidRPr="007D50DF">
        <w:rPr>
          <w:rFonts w:ascii="Calibri" w:hAnsi="Calibri" w:cs="Calibri"/>
          <w:i/>
          <w:iCs/>
          <w:sz w:val="22"/>
          <w:szCs w:val="22"/>
          <w:u w:val="single"/>
        </w:rPr>
        <w:t>Vigencia</w:t>
      </w:r>
    </w:p>
    <w:p w14:paraId="16633C02" w14:textId="77777777" w:rsidR="00D55B4B" w:rsidRPr="007D50DF" w:rsidRDefault="00D55B4B" w:rsidP="00D55B4B">
      <w:pPr>
        <w:ind w:left="720"/>
        <w:jc w:val="both"/>
        <w:rPr>
          <w:rFonts w:ascii="Calibri" w:hAnsi="Calibri" w:cs="Calibri"/>
          <w:i/>
          <w:iCs/>
          <w:sz w:val="22"/>
          <w:szCs w:val="22"/>
        </w:rPr>
      </w:pPr>
    </w:p>
    <w:p w14:paraId="7801C42F" w14:textId="77777777" w:rsidR="00D55B4B" w:rsidRPr="007D50DF" w:rsidRDefault="00D55B4B" w:rsidP="00D55B4B">
      <w:pPr>
        <w:jc w:val="both"/>
        <w:rPr>
          <w:rFonts w:ascii="Calibri" w:hAnsi="Calibri" w:cs="Calibri"/>
          <w:i/>
          <w:iCs/>
          <w:sz w:val="22"/>
          <w:szCs w:val="22"/>
          <w:lang w:val="es-ES_tradnl"/>
        </w:rPr>
      </w:pPr>
      <w:r w:rsidRPr="007D50DF">
        <w:rPr>
          <w:rFonts w:ascii="Calibri" w:hAnsi="Calibri" w:cs="Calibri"/>
          <w:i/>
          <w:iCs/>
          <w:sz w:val="22"/>
          <w:szCs w:val="22"/>
        </w:rPr>
        <w:t xml:space="preserve">Las disposiciones contenidas en la presente Política comenzaron a regir el 1 de septiembre de 2024. </w:t>
      </w:r>
    </w:p>
    <w:sectPr w:rsidR="00D55B4B" w:rsidRPr="007D50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38B9"/>
    <w:multiLevelType w:val="hybridMultilevel"/>
    <w:tmpl w:val="542463C8"/>
    <w:lvl w:ilvl="0" w:tplc="3B6026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9905A6"/>
    <w:multiLevelType w:val="hybridMultilevel"/>
    <w:tmpl w:val="619624AE"/>
    <w:lvl w:ilvl="0" w:tplc="04090017">
      <w:start w:val="1"/>
      <w:numFmt w:val="lowerLetter"/>
      <w:lvlText w:val="%1)"/>
      <w:lvlJc w:val="left"/>
      <w:pPr>
        <w:ind w:left="720" w:hanging="360"/>
      </w:pPr>
      <w:rPr>
        <w:rFonts w:hint="default"/>
      </w:rPr>
    </w:lvl>
    <w:lvl w:ilvl="1" w:tplc="05DC3898">
      <w:start w:val="1"/>
      <w:numFmt w:val="lowerRoman"/>
      <w:lvlText w:val="(%2)"/>
      <w:lvlJc w:val="left"/>
      <w:pPr>
        <w:ind w:left="72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AB113D"/>
    <w:multiLevelType w:val="hybridMultilevel"/>
    <w:tmpl w:val="4A90E3CA"/>
    <w:lvl w:ilvl="0" w:tplc="05585C2C">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E5849AB"/>
    <w:multiLevelType w:val="hybridMultilevel"/>
    <w:tmpl w:val="CAC4635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1054B3E"/>
    <w:multiLevelType w:val="hybridMultilevel"/>
    <w:tmpl w:val="D0CE2834"/>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B34E4F"/>
    <w:multiLevelType w:val="hybridMultilevel"/>
    <w:tmpl w:val="F80EC320"/>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2EC6E86"/>
    <w:multiLevelType w:val="hybridMultilevel"/>
    <w:tmpl w:val="D5386C8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490284"/>
    <w:multiLevelType w:val="hybridMultilevel"/>
    <w:tmpl w:val="104EBE90"/>
    <w:lvl w:ilvl="0" w:tplc="99CA7EE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30346867">
    <w:abstractNumId w:val="0"/>
  </w:num>
  <w:num w:numId="2" w16cid:durableId="145902237">
    <w:abstractNumId w:val="1"/>
  </w:num>
  <w:num w:numId="3" w16cid:durableId="1797798076">
    <w:abstractNumId w:val="4"/>
  </w:num>
  <w:num w:numId="4" w16cid:durableId="1307665856">
    <w:abstractNumId w:val="5"/>
  </w:num>
  <w:num w:numId="5" w16cid:durableId="340206864">
    <w:abstractNumId w:val="3"/>
  </w:num>
  <w:num w:numId="6" w16cid:durableId="1855537289">
    <w:abstractNumId w:val="2"/>
  </w:num>
  <w:num w:numId="7" w16cid:durableId="1550459014">
    <w:abstractNumId w:val="6"/>
  </w:num>
  <w:num w:numId="8" w16cid:durableId="818690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4B"/>
    <w:rsid w:val="000E7BB2"/>
    <w:rsid w:val="001249D9"/>
    <w:rsid w:val="003E1DAA"/>
    <w:rsid w:val="0050733F"/>
    <w:rsid w:val="00527FFB"/>
    <w:rsid w:val="00593BCA"/>
    <w:rsid w:val="0060560D"/>
    <w:rsid w:val="006248A5"/>
    <w:rsid w:val="006B01FB"/>
    <w:rsid w:val="006D4C5E"/>
    <w:rsid w:val="00706D44"/>
    <w:rsid w:val="00784EE7"/>
    <w:rsid w:val="00876F79"/>
    <w:rsid w:val="00963C38"/>
    <w:rsid w:val="009D6D05"/>
    <w:rsid w:val="00A900A6"/>
    <w:rsid w:val="00AA7225"/>
    <w:rsid w:val="00B83397"/>
    <w:rsid w:val="00B965D7"/>
    <w:rsid w:val="00D55B4B"/>
    <w:rsid w:val="00D671EF"/>
    <w:rsid w:val="00D771FB"/>
    <w:rsid w:val="00D966DB"/>
    <w:rsid w:val="00DB67A1"/>
    <w:rsid w:val="00E823C6"/>
    <w:rsid w:val="00E93477"/>
    <w:rsid w:val="00EF030B"/>
    <w:rsid w:val="00F62D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4DF8"/>
  <w15:chartTrackingRefBased/>
  <w15:docId w15:val="{BD436BB6-42A8-4EA2-9C1B-B21F520C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4B"/>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D55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5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5B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5B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5B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5B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5B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5B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5B4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B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5B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5B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5B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5B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5B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5B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5B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5B4B"/>
    <w:rPr>
      <w:rFonts w:eastAsiaTheme="majorEastAsia" w:cstheme="majorBidi"/>
      <w:color w:val="272727" w:themeColor="text1" w:themeTint="D8"/>
    </w:rPr>
  </w:style>
  <w:style w:type="paragraph" w:styleId="Ttulo">
    <w:name w:val="Title"/>
    <w:basedOn w:val="Normal"/>
    <w:next w:val="Normal"/>
    <w:link w:val="TtuloCar"/>
    <w:uiPriority w:val="10"/>
    <w:qFormat/>
    <w:rsid w:val="00D55B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5B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5B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5B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5B4B"/>
    <w:pPr>
      <w:spacing w:before="160"/>
      <w:jc w:val="center"/>
    </w:pPr>
    <w:rPr>
      <w:i/>
      <w:iCs/>
      <w:color w:val="404040" w:themeColor="text1" w:themeTint="BF"/>
    </w:rPr>
  </w:style>
  <w:style w:type="character" w:customStyle="1" w:styleId="CitaCar">
    <w:name w:val="Cita Car"/>
    <w:basedOn w:val="Fuentedeprrafopredeter"/>
    <w:link w:val="Cita"/>
    <w:uiPriority w:val="29"/>
    <w:rsid w:val="00D55B4B"/>
    <w:rPr>
      <w:i/>
      <w:iCs/>
      <w:color w:val="404040" w:themeColor="text1" w:themeTint="BF"/>
    </w:rPr>
  </w:style>
  <w:style w:type="paragraph" w:styleId="Prrafodelista">
    <w:name w:val="List Paragraph"/>
    <w:basedOn w:val="Normal"/>
    <w:uiPriority w:val="1"/>
    <w:qFormat/>
    <w:rsid w:val="00D55B4B"/>
    <w:pPr>
      <w:ind w:left="720"/>
      <w:contextualSpacing/>
    </w:pPr>
  </w:style>
  <w:style w:type="character" w:styleId="nfasisintenso">
    <w:name w:val="Intense Emphasis"/>
    <w:basedOn w:val="Fuentedeprrafopredeter"/>
    <w:uiPriority w:val="21"/>
    <w:qFormat/>
    <w:rsid w:val="00D55B4B"/>
    <w:rPr>
      <w:i/>
      <w:iCs/>
      <w:color w:val="0F4761" w:themeColor="accent1" w:themeShade="BF"/>
    </w:rPr>
  </w:style>
  <w:style w:type="paragraph" w:styleId="Citadestacada">
    <w:name w:val="Intense Quote"/>
    <w:basedOn w:val="Normal"/>
    <w:next w:val="Normal"/>
    <w:link w:val="CitadestacadaCar"/>
    <w:uiPriority w:val="30"/>
    <w:qFormat/>
    <w:rsid w:val="00D55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5B4B"/>
    <w:rPr>
      <w:i/>
      <w:iCs/>
      <w:color w:val="0F4761" w:themeColor="accent1" w:themeShade="BF"/>
    </w:rPr>
  </w:style>
  <w:style w:type="character" w:styleId="Referenciaintensa">
    <w:name w:val="Intense Reference"/>
    <w:basedOn w:val="Fuentedeprrafopredeter"/>
    <w:uiPriority w:val="32"/>
    <w:qFormat/>
    <w:rsid w:val="00D55B4B"/>
    <w:rPr>
      <w:b/>
      <w:bCs/>
      <w:smallCaps/>
      <w:color w:val="0F4761" w:themeColor="accent1" w:themeShade="BF"/>
      <w:spacing w:val="5"/>
    </w:rPr>
  </w:style>
  <w:style w:type="character" w:styleId="Hipervnculo">
    <w:name w:val="Hyperlink"/>
    <w:uiPriority w:val="99"/>
    <w:unhideWhenUsed/>
    <w:rsid w:val="00D55B4B"/>
    <w:rPr>
      <w:color w:val="0000FF"/>
      <w:u w:val="single"/>
    </w:rPr>
  </w:style>
  <w:style w:type="paragraph" w:styleId="Revisin">
    <w:name w:val="Revision"/>
    <w:hidden/>
    <w:uiPriority w:val="99"/>
    <w:semiHidden/>
    <w:rsid w:val="00E93477"/>
    <w:pPr>
      <w:spacing w:after="0" w:line="240" w:lineRule="auto"/>
    </w:pPr>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lefonica.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44600e-3e04-492e-baa1-25ec245c6f10}" enabled="0" method="" siteId="{9744600e-3e04-492e-baa1-25ec245c6f1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1325</Words>
  <Characters>7222</Characters>
  <Application>Microsoft Office Word</Application>
  <DocSecurity>0</DocSecurity>
  <Lines>150</Lines>
  <Paragraphs>44</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Fuentes Espinoza</dc:creator>
  <cp:keywords/>
  <dc:description/>
  <cp:lastModifiedBy>Claudio Monasterio Rebolledo</cp:lastModifiedBy>
  <cp:revision>3</cp:revision>
  <dcterms:created xsi:type="dcterms:W3CDTF">2026-06-24T22:31:00Z</dcterms:created>
  <dcterms:modified xsi:type="dcterms:W3CDTF">2026-06-24T22:33:00Z</dcterms:modified>
</cp:coreProperties>
</file>